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69F0341A"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4E1CDD">
        <w:rPr>
          <w:noProof w:val="0"/>
          <w:sz w:val="24"/>
          <w:szCs w:val="24"/>
          <w:lang w:val="sv-SE"/>
        </w:rPr>
        <w:t>81</w:t>
      </w:r>
      <w:r>
        <w:rPr>
          <w:noProof w:val="0"/>
          <w:sz w:val="24"/>
          <w:szCs w:val="24"/>
          <w:lang w:val="sv-SE"/>
        </w:rPr>
        <w:tab/>
        <w:t>R4-</w:t>
      </w:r>
      <w:r w:rsidR="00EA1841">
        <w:rPr>
          <w:noProof w:val="0"/>
          <w:sz w:val="24"/>
          <w:szCs w:val="24"/>
          <w:lang w:val="sv-SE"/>
        </w:rPr>
        <w:t>1609952</w:t>
      </w:r>
    </w:p>
    <w:p w14:paraId="3DBCB768" w14:textId="7E2A867C" w:rsidR="00DD6E96" w:rsidRDefault="00474A88" w:rsidP="00DD6E96">
      <w:pPr>
        <w:pStyle w:val="CRCoverPage"/>
        <w:outlineLvl w:val="0"/>
        <w:rPr>
          <w:b/>
          <w:noProof/>
          <w:sz w:val="24"/>
        </w:rPr>
      </w:pPr>
      <w:r>
        <w:rPr>
          <w:b/>
          <w:sz w:val="24"/>
          <w:szCs w:val="24"/>
        </w:rPr>
        <w:t>Reno</w:t>
      </w:r>
      <w:r w:rsidR="00DD6E96">
        <w:rPr>
          <w:b/>
          <w:noProof/>
          <w:sz w:val="24"/>
        </w:rPr>
        <w:t xml:space="preserve">, </w:t>
      </w:r>
      <w:r w:rsidR="00DF67E5">
        <w:rPr>
          <w:b/>
          <w:noProof/>
          <w:sz w:val="24"/>
        </w:rPr>
        <w:t xml:space="preserve">Nevada, </w:t>
      </w:r>
      <w:r>
        <w:rPr>
          <w:b/>
          <w:sz w:val="24"/>
          <w:szCs w:val="24"/>
        </w:rPr>
        <w:t>USA</w:t>
      </w:r>
      <w:r w:rsidR="00DD6E96">
        <w:rPr>
          <w:b/>
          <w:noProof/>
          <w:sz w:val="24"/>
        </w:rPr>
        <w:t>,</w:t>
      </w:r>
      <w:r>
        <w:rPr>
          <w:b/>
          <w:noProof/>
          <w:sz w:val="24"/>
        </w:rPr>
        <w:t xml:space="preserve"> 14</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r w:rsidR="00B93F81">
        <w:fldChar w:fldCharType="begin"/>
      </w:r>
      <w:r w:rsidR="00B93F81">
        <w:instrText xml:space="preserve"> DOCPROPERTY  EndDate  \* MERGEFORMAT </w:instrText>
      </w:r>
      <w:r w:rsidR="00B93F81">
        <w:fldChar w:fldCharType="separate"/>
      </w:r>
      <w:r w:rsidR="00DF67E5">
        <w:rPr>
          <w:b/>
          <w:noProof/>
          <w:sz w:val="24"/>
        </w:rPr>
        <w:t>18</w:t>
      </w:r>
      <w:r w:rsidR="00B6437C" w:rsidRPr="00B6437C">
        <w:rPr>
          <w:b/>
          <w:noProof/>
          <w:sz w:val="24"/>
          <w:vertAlign w:val="superscript"/>
        </w:rPr>
        <w:t>th</w:t>
      </w:r>
      <w:r w:rsidR="00B6437C">
        <w:rPr>
          <w:b/>
          <w:noProof/>
          <w:sz w:val="24"/>
        </w:rPr>
        <w:t xml:space="preserve"> </w:t>
      </w:r>
      <w:r>
        <w:rPr>
          <w:b/>
          <w:noProof/>
          <w:sz w:val="24"/>
        </w:rPr>
        <w:t>Nov</w:t>
      </w:r>
      <w:r w:rsidR="00DD6E96" w:rsidRPr="00BA51D9">
        <w:rPr>
          <w:b/>
          <w:noProof/>
          <w:sz w:val="24"/>
        </w:rPr>
        <w:t xml:space="preserve"> 2016</w:t>
      </w:r>
      <w:r w:rsidR="00B93F81">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026FC360"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6E604728"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Remaining Issues </w:t>
      </w:r>
      <w:r w:rsidR="00936370">
        <w:rPr>
          <w:rFonts w:ascii="Arial" w:hAnsi="Arial"/>
          <w:sz w:val="24"/>
        </w:rPr>
        <w:t>in</w:t>
      </w:r>
      <w:r>
        <w:rPr>
          <w:rFonts w:ascii="Arial" w:hAnsi="Arial"/>
          <w:sz w:val="24"/>
        </w:rPr>
        <w:t xml:space="preserve"> </w:t>
      </w:r>
      <w:r w:rsidR="004E1CDD">
        <w:rPr>
          <w:rFonts w:ascii="Arial" w:hAnsi="Arial"/>
          <w:sz w:val="24"/>
        </w:rPr>
        <w:t>V2V RF Specifications</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DD6E96">
      <w:pPr>
        <w:pStyle w:val="Heading1"/>
        <w:jc w:val="both"/>
        <w:rPr>
          <w:lang w:val="en-US"/>
        </w:rPr>
      </w:pPr>
      <w:r>
        <w:rPr>
          <w:lang w:val="en-US"/>
        </w:rPr>
        <w:t>Introduction</w:t>
      </w:r>
    </w:p>
    <w:p w14:paraId="7B0D2BFB" w14:textId="0DBF5DDF" w:rsidR="00B25A48" w:rsidRDefault="004E1CDD" w:rsidP="0079536B">
      <w:pPr>
        <w:jc w:val="both"/>
        <w:rPr>
          <w:rFonts w:ascii="Times New Roman" w:hAnsi="Times New Roman" w:cs="Times New Roman"/>
        </w:rPr>
      </w:pPr>
      <w:r>
        <w:rPr>
          <w:rFonts w:ascii="Times New Roman" w:hAnsi="Times New Roman" w:cs="Times New Roman"/>
        </w:rPr>
        <w:t xml:space="preserve">In RAN4#80, a WF </w:t>
      </w:r>
      <w:r w:rsidR="003E130B">
        <w:rPr>
          <w:rFonts w:ascii="Times New Roman" w:hAnsi="Times New Roman" w:cs="Times New Roman"/>
        </w:rPr>
        <w:t xml:space="preserve">[3] </w:t>
      </w:r>
      <w:r>
        <w:rPr>
          <w:rFonts w:ascii="Times New Roman" w:hAnsi="Times New Roman" w:cs="Times New Roman"/>
        </w:rPr>
        <w:t xml:space="preserve">on handling remaining issues in V2V RF Specifications in the scope of V2X WI </w:t>
      </w:r>
      <w:r w:rsidR="00F0043C">
        <w:rPr>
          <w:rFonts w:ascii="Times New Roman" w:hAnsi="Times New Roman" w:cs="Times New Roman"/>
        </w:rPr>
        <w:t>was</w:t>
      </w:r>
      <w:r>
        <w:rPr>
          <w:rFonts w:ascii="Times New Roman" w:hAnsi="Times New Roman" w:cs="Times New Roman"/>
        </w:rPr>
        <w:t xml:space="preserve"> agreed. One of the remaining issues is:</w:t>
      </w:r>
    </w:p>
    <w:p w14:paraId="75F9B58E" w14:textId="77777777" w:rsidR="002514C1" w:rsidRPr="00166647" w:rsidRDefault="002514C1" w:rsidP="004E1CDD">
      <w:pPr>
        <w:numPr>
          <w:ilvl w:val="0"/>
          <w:numId w:val="6"/>
        </w:numPr>
        <w:jc w:val="both"/>
        <w:rPr>
          <w:rFonts w:ascii="Times New Roman" w:hAnsi="Times New Roman" w:cs="Times New Roman"/>
          <w:highlight w:val="darkGreen"/>
        </w:rPr>
      </w:pPr>
      <w:r w:rsidRPr="00166647">
        <w:rPr>
          <w:rFonts w:ascii="Times New Roman" w:hAnsi="Times New Roman" w:cs="Times New Roman"/>
          <w:highlight w:val="darkGreen"/>
        </w:rPr>
        <w:t>Issue 5: Further study impacts on RF requirements due to simultaneous PSCCH and PSSCH transmissions</w:t>
      </w:r>
    </w:p>
    <w:p w14:paraId="07B70B31" w14:textId="4B6459AD" w:rsidR="002514C1" w:rsidRPr="00166647" w:rsidRDefault="002514C1" w:rsidP="004E1CDD">
      <w:pPr>
        <w:numPr>
          <w:ilvl w:val="1"/>
          <w:numId w:val="6"/>
        </w:numPr>
        <w:jc w:val="both"/>
        <w:rPr>
          <w:rFonts w:ascii="Times New Roman" w:hAnsi="Times New Roman" w:cs="Times New Roman"/>
          <w:highlight w:val="darkGreen"/>
        </w:rPr>
      </w:pPr>
      <w:r w:rsidRPr="00166647">
        <w:rPr>
          <w:rFonts w:ascii="Times New Roman" w:hAnsi="Times New Roman" w:cs="Times New Roman"/>
          <w:highlight w:val="darkGreen"/>
        </w:rPr>
        <w:t>E.g. configured transmit power (</w:t>
      </w:r>
      <w:r w:rsidR="00DF67E5" w:rsidRPr="00166647">
        <w:rPr>
          <w:rFonts w:ascii="Times New Roman" w:hAnsi="Times New Roman" w:cs="Times New Roman"/>
          <w:i/>
          <w:highlight w:val="darkGreen"/>
          <w:lang w:val="en-GB"/>
        </w:rPr>
        <w:t>P</w:t>
      </w:r>
      <w:r w:rsidR="00DF67E5" w:rsidRPr="00166647">
        <w:rPr>
          <w:rFonts w:ascii="Times New Roman" w:hAnsi="Times New Roman" w:cs="Times New Roman"/>
          <w:i/>
          <w:highlight w:val="darkGreen"/>
          <w:vertAlign w:val="subscript"/>
          <w:lang w:val="en-GB"/>
        </w:rPr>
        <w:t>CMAX, c</w:t>
      </w:r>
      <w:r w:rsidRPr="00166647">
        <w:rPr>
          <w:rFonts w:ascii="Times New Roman" w:hAnsi="Times New Roman" w:cs="Times New Roman"/>
          <w:highlight w:val="darkGreen"/>
        </w:rPr>
        <w:t>), EVM</w:t>
      </w:r>
    </w:p>
    <w:p w14:paraId="4C17F540" w14:textId="6FE40A3A" w:rsidR="004E1CDD" w:rsidRDefault="004E1CDD" w:rsidP="0079536B">
      <w:pPr>
        <w:jc w:val="both"/>
        <w:rPr>
          <w:rFonts w:ascii="Times New Roman" w:hAnsi="Times New Roman" w:cs="Times New Roman"/>
        </w:rPr>
      </w:pPr>
      <w:r>
        <w:rPr>
          <w:rFonts w:ascii="Times New Roman" w:hAnsi="Times New Roman" w:cs="Times New Roman"/>
        </w:rPr>
        <w:t xml:space="preserve">However, no progress has been made in RAN4#80bis </w:t>
      </w:r>
      <w:r w:rsidR="004957D9">
        <w:rPr>
          <w:rFonts w:ascii="Times New Roman" w:hAnsi="Times New Roman" w:cs="Times New Roman"/>
        </w:rPr>
        <w:t>on this point.</w:t>
      </w:r>
      <w:r>
        <w:rPr>
          <w:rFonts w:ascii="Times New Roman" w:hAnsi="Times New Roman" w:cs="Times New Roman"/>
        </w:rPr>
        <w:t xml:space="preserve"> </w:t>
      </w:r>
    </w:p>
    <w:p w14:paraId="074CF35C" w14:textId="6A56872E" w:rsidR="004957D9" w:rsidRDefault="004E1CDD" w:rsidP="0079536B">
      <w:pPr>
        <w:jc w:val="both"/>
        <w:rPr>
          <w:rFonts w:ascii="Times New Roman" w:hAnsi="Times New Roman" w:cs="Times New Roman"/>
        </w:rPr>
      </w:pPr>
      <w:r>
        <w:rPr>
          <w:rFonts w:ascii="Times New Roman" w:hAnsi="Times New Roman" w:cs="Times New Roman"/>
        </w:rPr>
        <w:t xml:space="preserve">In particular, </w:t>
      </w:r>
      <w:r w:rsidR="004957D9">
        <w:rPr>
          <w:rFonts w:ascii="Times New Roman" w:hAnsi="Times New Roman" w:cs="Times New Roman"/>
        </w:rPr>
        <w:t xml:space="preserve">the </w:t>
      </w:r>
      <w:r w:rsidR="00B544FE">
        <w:rPr>
          <w:rFonts w:ascii="Times New Roman" w:hAnsi="Times New Roman" w:cs="Times New Roman"/>
        </w:rPr>
        <w:t>remaining</w:t>
      </w:r>
      <w:r w:rsidR="00F0043C">
        <w:rPr>
          <w:rFonts w:ascii="Times New Roman" w:hAnsi="Times New Roman" w:cs="Times New Roman"/>
        </w:rPr>
        <w:t xml:space="preserve"> RF TX requirements </w:t>
      </w:r>
      <w:r w:rsidR="004957D9">
        <w:rPr>
          <w:rFonts w:ascii="Times New Roman" w:hAnsi="Times New Roman" w:cs="Times New Roman"/>
        </w:rPr>
        <w:t>includes:</w:t>
      </w:r>
    </w:p>
    <w:p w14:paraId="61D5041A" w14:textId="1A3CCCE9" w:rsidR="004E1CDD" w:rsidRDefault="004957D9" w:rsidP="004957D9">
      <w:pPr>
        <w:pStyle w:val="ListParagraph"/>
        <w:numPr>
          <w:ilvl w:val="0"/>
          <w:numId w:val="7"/>
        </w:numPr>
        <w:jc w:val="both"/>
      </w:pPr>
      <w:r>
        <w:t>EVM requirements</w:t>
      </w:r>
    </w:p>
    <w:p w14:paraId="36E8C0E4" w14:textId="5ABE213E" w:rsidR="004957D9" w:rsidRDefault="004957D9" w:rsidP="004957D9">
      <w:pPr>
        <w:pStyle w:val="ListParagraph"/>
        <w:numPr>
          <w:ilvl w:val="0"/>
          <w:numId w:val="7"/>
        </w:numPr>
        <w:jc w:val="both"/>
      </w:pPr>
      <w:r>
        <w:t>Configured Transmit Power requirements</w:t>
      </w:r>
    </w:p>
    <w:p w14:paraId="6268AAD0" w14:textId="71FB4E61" w:rsidR="00B544FE" w:rsidRPr="00B544FE" w:rsidRDefault="004957D9" w:rsidP="00B544FE">
      <w:pPr>
        <w:pStyle w:val="ListParagraph"/>
        <w:numPr>
          <w:ilvl w:val="0"/>
          <w:numId w:val="7"/>
        </w:numPr>
        <w:jc w:val="both"/>
      </w:pPr>
      <w:r>
        <w:t>In-band emission requirements.</w:t>
      </w:r>
    </w:p>
    <w:p w14:paraId="2E93A875" w14:textId="6F4EBDEF" w:rsidR="004E1CDD" w:rsidRPr="0079536B" w:rsidRDefault="004957D9" w:rsidP="0079536B">
      <w:pPr>
        <w:jc w:val="both"/>
        <w:rPr>
          <w:rFonts w:ascii="Times New Roman" w:hAnsi="Times New Roman" w:cs="Times New Roman"/>
        </w:rPr>
      </w:pPr>
      <w:r>
        <w:rPr>
          <w:rFonts w:ascii="Times New Roman" w:hAnsi="Times New Roman" w:cs="Times New Roman"/>
        </w:rPr>
        <w:t>In this paper, we discuss our view on the above issues and propose ways to make progress in RAN4.</w:t>
      </w:r>
    </w:p>
    <w:p w14:paraId="62E021D0" w14:textId="2079C4AF" w:rsidR="00DD6E96" w:rsidRDefault="0065631A" w:rsidP="00DD6E96">
      <w:pPr>
        <w:pStyle w:val="Heading1"/>
        <w:jc w:val="both"/>
        <w:rPr>
          <w:lang w:val="en-US"/>
        </w:rPr>
      </w:pPr>
      <w:r>
        <w:rPr>
          <w:lang w:val="en-US"/>
        </w:rPr>
        <w:t>Discussion</w:t>
      </w:r>
    </w:p>
    <w:p w14:paraId="5298D99C" w14:textId="51D18A67" w:rsidR="004957D9" w:rsidRDefault="004957D9" w:rsidP="004957D9">
      <w:pPr>
        <w:pStyle w:val="Heading2"/>
      </w:pPr>
      <w:r>
        <w:t xml:space="preserve"> EVM Requirements</w:t>
      </w:r>
    </w:p>
    <w:p w14:paraId="0ED40DC3" w14:textId="468E9A17" w:rsidR="0032244B" w:rsidRPr="0032244B" w:rsidRDefault="0032244B" w:rsidP="0032244B">
      <w:pPr>
        <w:rPr>
          <w:rFonts w:ascii="Times New Roman" w:hAnsi="Times New Roman" w:cs="Times New Roman"/>
        </w:rPr>
      </w:pPr>
      <w:r w:rsidRPr="0032244B">
        <w:rPr>
          <w:rFonts w:ascii="Times New Roman" w:hAnsi="Times New Roman" w:cs="Times New Roman"/>
        </w:rPr>
        <w:t>In V2V sidelink, it is agreed that PSSCH and PSCCH are transmitted simultane</w:t>
      </w:r>
      <w:r w:rsidR="00B544FE">
        <w:rPr>
          <w:rFonts w:ascii="Times New Roman" w:hAnsi="Times New Roman" w:cs="Times New Roman"/>
        </w:rPr>
        <w:t xml:space="preserve">ously in the same subframe with </w:t>
      </w:r>
      <w:r w:rsidRPr="0032244B">
        <w:rPr>
          <w:rFonts w:ascii="Times New Roman" w:hAnsi="Times New Roman" w:cs="Times New Roman"/>
        </w:rPr>
        <w:t>3dB PSD boosting for the corresponding PSSCH.</w:t>
      </w:r>
      <w:r>
        <w:rPr>
          <w:rFonts w:ascii="Times New Roman" w:hAnsi="Times New Roman" w:cs="Times New Roman"/>
        </w:rPr>
        <w:t xml:space="preserve"> As there can be confusion on how to apply EVM requirements in this case, it is beneficial to clarify in the specification that the EVM requirements </w:t>
      </w:r>
      <w:r w:rsidR="00F0043C">
        <w:rPr>
          <w:rFonts w:ascii="Times New Roman" w:hAnsi="Times New Roman" w:cs="Times New Roman"/>
        </w:rPr>
        <w:t>will</w:t>
      </w:r>
      <w:r>
        <w:rPr>
          <w:rFonts w:ascii="Times New Roman" w:hAnsi="Times New Roman" w:cs="Times New Roman"/>
        </w:rPr>
        <w:t xml:space="preserve"> appl</w:t>
      </w:r>
      <w:r w:rsidR="00F0043C">
        <w:rPr>
          <w:rFonts w:ascii="Times New Roman" w:hAnsi="Times New Roman" w:cs="Times New Roman"/>
        </w:rPr>
        <w:t>y separately for PSSCH and PSCCH</w:t>
      </w:r>
      <w:r>
        <w:rPr>
          <w:rFonts w:ascii="Times New Roman" w:hAnsi="Times New Roman" w:cs="Times New Roman"/>
        </w:rPr>
        <w:t>.</w:t>
      </w:r>
    </w:p>
    <w:p w14:paraId="76614C1B" w14:textId="0A91F9B3" w:rsidR="00621BF2" w:rsidRDefault="00621BF2" w:rsidP="004957D9">
      <w:pPr>
        <w:rPr>
          <w:rFonts w:ascii="Times New Roman" w:hAnsi="Times New Roman" w:cs="Times New Roman"/>
          <w:b/>
          <w:u w:val="single"/>
        </w:rPr>
      </w:pPr>
      <w:r w:rsidRPr="00621BF2">
        <w:rPr>
          <w:rFonts w:ascii="Times New Roman" w:hAnsi="Times New Roman" w:cs="Times New Roman"/>
          <w:b/>
          <w:u w:val="single"/>
        </w:rPr>
        <w:t>Proposal 1</w:t>
      </w:r>
      <w:r w:rsidRPr="00646340">
        <w:rPr>
          <w:rFonts w:ascii="Times New Roman" w:hAnsi="Times New Roman" w:cs="Times New Roman"/>
          <w:b/>
        </w:rPr>
        <w:t xml:space="preserve">: </w:t>
      </w:r>
      <w:r w:rsidR="00646340" w:rsidRPr="00646340">
        <w:rPr>
          <w:rFonts w:ascii="Times New Roman" w:hAnsi="Times New Roman" w:cs="Times New Roman"/>
          <w:b/>
        </w:rPr>
        <w:t>Add clarification that EVM requirements always apply separately for V2V PSSCH and PSCCH.</w:t>
      </w:r>
      <w:r w:rsidR="00646340">
        <w:rPr>
          <w:rFonts w:ascii="Times New Roman" w:hAnsi="Times New Roman" w:cs="Times New Roman"/>
          <w:b/>
          <w:u w:val="single"/>
        </w:rPr>
        <w:t xml:space="preserve"> </w:t>
      </w:r>
    </w:p>
    <w:p w14:paraId="6E9A7134" w14:textId="269CA91A" w:rsidR="00646340" w:rsidRDefault="0032244B" w:rsidP="0032244B">
      <w:pPr>
        <w:rPr>
          <w:rFonts w:ascii="Times New Roman" w:hAnsi="Times New Roman" w:cs="Times New Roman"/>
        </w:rPr>
      </w:pPr>
      <w:r>
        <w:rPr>
          <w:rFonts w:ascii="Times New Roman" w:hAnsi="Times New Roman" w:cs="Times New Roman"/>
        </w:rPr>
        <w:t xml:space="preserve">Furthermore, the </w:t>
      </w:r>
      <w:r w:rsidRPr="0032244B">
        <w:rPr>
          <w:rFonts w:ascii="Times New Roman" w:hAnsi="Times New Roman" w:cs="Times New Roman"/>
        </w:rPr>
        <w:t>number of DMRS symbols</w:t>
      </w:r>
      <w:r>
        <w:rPr>
          <w:rFonts w:ascii="Times New Roman" w:hAnsi="Times New Roman" w:cs="Times New Roman"/>
        </w:rPr>
        <w:t xml:space="preserve"> in a V2V sidelink subframe</w:t>
      </w:r>
      <w:r w:rsidRPr="0032244B">
        <w:rPr>
          <w:rFonts w:ascii="Times New Roman" w:hAnsi="Times New Roman" w:cs="Times New Roman"/>
        </w:rPr>
        <w:t xml:space="preserve"> is increased t</w:t>
      </w:r>
      <w:r w:rsidR="00B544FE">
        <w:rPr>
          <w:rFonts w:ascii="Times New Roman" w:hAnsi="Times New Roman" w:cs="Times New Roman"/>
        </w:rPr>
        <w:t>o 4 to support higher speed at 5.9</w:t>
      </w:r>
      <w:r w:rsidRPr="0032244B">
        <w:rPr>
          <w:rFonts w:ascii="Times New Roman" w:hAnsi="Times New Roman" w:cs="Times New Roman"/>
        </w:rPr>
        <w:t>GHz frequencies. The DMRS symbols locations are {3,</w:t>
      </w:r>
      <w:r w:rsidR="00B544FE">
        <w:rPr>
          <w:rFonts w:ascii="Times New Roman" w:hAnsi="Times New Roman" w:cs="Times New Roman"/>
        </w:rPr>
        <w:t xml:space="preserve"> </w:t>
      </w:r>
      <w:r w:rsidRPr="0032244B">
        <w:rPr>
          <w:rFonts w:ascii="Times New Roman" w:hAnsi="Times New Roman" w:cs="Times New Roman"/>
        </w:rPr>
        <w:t>6,</w:t>
      </w:r>
      <w:r w:rsidR="00B544FE">
        <w:rPr>
          <w:rFonts w:ascii="Times New Roman" w:hAnsi="Times New Roman" w:cs="Times New Roman"/>
        </w:rPr>
        <w:t xml:space="preserve"> </w:t>
      </w:r>
      <w:r w:rsidRPr="0032244B">
        <w:rPr>
          <w:rFonts w:ascii="Times New Roman" w:hAnsi="Times New Roman" w:cs="Times New Roman"/>
        </w:rPr>
        <w:t>9,</w:t>
      </w:r>
      <w:r w:rsidR="00B544FE">
        <w:rPr>
          <w:rFonts w:ascii="Times New Roman" w:hAnsi="Times New Roman" w:cs="Times New Roman"/>
        </w:rPr>
        <w:t xml:space="preserve"> </w:t>
      </w:r>
      <w:r w:rsidRPr="0032244B">
        <w:rPr>
          <w:rFonts w:ascii="Times New Roman" w:hAnsi="Times New Roman" w:cs="Times New Roman"/>
        </w:rPr>
        <w:t>12}.</w:t>
      </w:r>
      <w:r>
        <w:rPr>
          <w:rFonts w:ascii="Times New Roman" w:hAnsi="Times New Roman" w:cs="Times New Roman"/>
        </w:rPr>
        <w:t xml:space="preserve"> This make</w:t>
      </w:r>
      <w:r w:rsidR="00B544FE">
        <w:rPr>
          <w:rFonts w:ascii="Times New Roman" w:hAnsi="Times New Roman" w:cs="Times New Roman"/>
        </w:rPr>
        <w:t>s</w:t>
      </w:r>
      <w:r>
        <w:rPr>
          <w:rFonts w:ascii="Times New Roman" w:hAnsi="Times New Roman" w:cs="Times New Roman"/>
        </w:rPr>
        <w:t xml:space="preserve"> the number of symbols carrying data in a subframe reduce to 8. As the EVM measurement period always ensure that there will be 120 measured OFDM symbols, the EVM measurement period for V2V </w:t>
      </w:r>
      <w:r w:rsidRPr="0032244B">
        <w:rPr>
          <w:rFonts w:ascii="Times New Roman" w:hAnsi="Times New Roman" w:cs="Times New Roman"/>
        </w:rPr>
        <w:t>PSSCH and PSCCH</w:t>
      </w:r>
      <w:r>
        <w:rPr>
          <w:rFonts w:ascii="Times New Roman" w:hAnsi="Times New Roman" w:cs="Times New Roman"/>
        </w:rPr>
        <w:t xml:space="preserve"> channels must be increased to 15 subframes and that for V2V </w:t>
      </w:r>
      <w:r w:rsidR="00646340">
        <w:rPr>
          <w:rFonts w:ascii="Times New Roman" w:hAnsi="Times New Roman" w:cs="Times New Roman"/>
        </w:rPr>
        <w:t>reference signal EVM can be reduced to 30 subframes.</w:t>
      </w:r>
    </w:p>
    <w:p w14:paraId="5561B0A2" w14:textId="759C8B80" w:rsidR="0032244B" w:rsidRPr="00646340" w:rsidRDefault="00646340" w:rsidP="0032244B">
      <w:pPr>
        <w:rPr>
          <w:rFonts w:ascii="Times New Roman" w:hAnsi="Times New Roman" w:cs="Times New Roman"/>
          <w:b/>
        </w:rPr>
      </w:pPr>
      <w:r w:rsidRPr="00646340">
        <w:rPr>
          <w:rFonts w:ascii="Times New Roman" w:hAnsi="Times New Roman" w:cs="Times New Roman"/>
          <w:b/>
          <w:u w:val="single"/>
        </w:rPr>
        <w:t>Proposal 2</w:t>
      </w:r>
      <w:r w:rsidRPr="00646340">
        <w:rPr>
          <w:rFonts w:ascii="Times New Roman" w:hAnsi="Times New Roman" w:cs="Times New Roman"/>
          <w:b/>
        </w:rPr>
        <w:t>:</w:t>
      </w:r>
      <w:r w:rsidR="0032244B" w:rsidRPr="00646340">
        <w:rPr>
          <w:rFonts w:ascii="Times New Roman" w:hAnsi="Times New Roman" w:cs="Times New Roman"/>
          <w:b/>
        </w:rPr>
        <w:t xml:space="preserve"> </w:t>
      </w:r>
      <w:r w:rsidRPr="00646340">
        <w:rPr>
          <w:rFonts w:ascii="Times New Roman" w:hAnsi="Times New Roman" w:cs="Times New Roman"/>
          <w:b/>
        </w:rPr>
        <w:t>The measurement period for V2V PSSCH and PSCCH EVM is 15 subframes. The measurement period of V2V reference signal EVM is 30 subframes.</w:t>
      </w:r>
    </w:p>
    <w:p w14:paraId="0854D391" w14:textId="77777777" w:rsidR="00646340" w:rsidRDefault="00646340" w:rsidP="00646340">
      <w:pPr>
        <w:pStyle w:val="Heading2"/>
      </w:pPr>
      <w:r>
        <w:lastRenderedPageBreak/>
        <w:t>Configured Transmit Power</w:t>
      </w:r>
    </w:p>
    <w:p w14:paraId="193FF11A" w14:textId="407DED2A" w:rsidR="00646340" w:rsidRDefault="00646340" w:rsidP="00646340">
      <w:pPr>
        <w:rPr>
          <w:rFonts w:ascii="Times New Roman" w:hAnsi="Times New Roman" w:cs="Times New Roman"/>
          <w:lang w:val="en-GB"/>
        </w:rPr>
      </w:pPr>
      <w:r>
        <w:rPr>
          <w:rFonts w:ascii="Times New Roman" w:hAnsi="Times New Roman" w:cs="Times New Roman"/>
          <w:lang w:val="en-GB"/>
        </w:rPr>
        <w:t xml:space="preserve">In D2D sidelink, the configured transmit power is define separately for </w:t>
      </w:r>
      <w:r w:rsidR="00031FBE">
        <w:rPr>
          <w:rFonts w:ascii="Times New Roman" w:hAnsi="Times New Roman" w:cs="Times New Roman"/>
          <w:lang w:val="en-GB"/>
        </w:rPr>
        <w:t>PSCCH</w:t>
      </w:r>
      <w:r>
        <w:rPr>
          <w:rFonts w:ascii="Times New Roman" w:hAnsi="Times New Roman" w:cs="Times New Roman"/>
          <w:lang w:val="en-GB"/>
        </w:rPr>
        <w:t xml:space="preserve"> and </w:t>
      </w:r>
      <w:r w:rsidR="00031FBE">
        <w:rPr>
          <w:rFonts w:ascii="Times New Roman" w:hAnsi="Times New Roman" w:cs="Times New Roman"/>
          <w:lang w:val="en-GB"/>
        </w:rPr>
        <w:t>PSSCH</w:t>
      </w:r>
      <w:r w:rsidR="002514C1">
        <w:rPr>
          <w:rFonts w:ascii="Times New Roman" w:hAnsi="Times New Roman" w:cs="Times New Roman"/>
          <w:lang w:val="en-GB"/>
        </w:rPr>
        <w:t xml:space="preserve">. This is </w:t>
      </w:r>
      <w:r w:rsidR="00031FBE">
        <w:rPr>
          <w:rFonts w:ascii="Times New Roman" w:hAnsi="Times New Roman" w:cs="Times New Roman"/>
          <w:lang w:val="en-GB"/>
        </w:rPr>
        <w:t>necessary</w:t>
      </w:r>
      <w:r>
        <w:rPr>
          <w:rFonts w:ascii="Times New Roman" w:hAnsi="Times New Roman" w:cs="Times New Roman"/>
          <w:lang w:val="en-GB"/>
        </w:rPr>
        <w:t xml:space="preserve"> because </w:t>
      </w:r>
      <w:r w:rsidR="00031FBE">
        <w:rPr>
          <w:rFonts w:ascii="Times New Roman" w:hAnsi="Times New Roman" w:cs="Times New Roman"/>
          <w:lang w:val="en-GB"/>
        </w:rPr>
        <w:t xml:space="preserve">PSCCH and PSSCH </w:t>
      </w:r>
      <w:r>
        <w:rPr>
          <w:rFonts w:ascii="Times New Roman" w:hAnsi="Times New Roman" w:cs="Times New Roman"/>
          <w:lang w:val="en-GB"/>
        </w:rPr>
        <w:t>are in different</w:t>
      </w:r>
      <w:r w:rsidR="002514C1">
        <w:rPr>
          <w:rFonts w:ascii="Times New Roman" w:hAnsi="Times New Roman" w:cs="Times New Roman"/>
          <w:lang w:val="en-GB"/>
        </w:rPr>
        <w:t xml:space="preserve"> subframes</w:t>
      </w:r>
      <w:r w:rsidR="00031FBE">
        <w:rPr>
          <w:rFonts w:ascii="Times New Roman" w:hAnsi="Times New Roman" w:cs="Times New Roman"/>
          <w:lang w:val="en-GB"/>
        </w:rPr>
        <w:t xml:space="preserve"> in D2D</w:t>
      </w:r>
      <w:r w:rsidR="002514C1">
        <w:rPr>
          <w:rFonts w:ascii="Times New Roman" w:hAnsi="Times New Roman" w:cs="Times New Roman"/>
          <w:lang w:val="en-GB"/>
        </w:rPr>
        <w:t xml:space="preserve"> and hence their transmit power can be adjust independently.</w:t>
      </w:r>
      <w:r w:rsidR="00691CD3">
        <w:rPr>
          <w:rFonts w:ascii="Times New Roman" w:hAnsi="Times New Roman" w:cs="Times New Roman"/>
          <w:lang w:val="en-GB"/>
        </w:rPr>
        <w:t xml:space="preserve"> Since V2V PSCCH and PSSCH are always transmitted simultaneously in the same subframe with fixed 3dB power boosting, only one common configured transmit power </w:t>
      </w:r>
      <w:r w:rsidR="002E6E6A" w:rsidRPr="002E6E6A">
        <w:rPr>
          <w:rFonts w:ascii="Times New Roman" w:hAnsi="Times New Roman" w:cs="Times New Roman"/>
          <w:i/>
          <w:lang w:val="en-GB"/>
        </w:rPr>
        <w:t>P</w:t>
      </w:r>
      <w:r w:rsidR="002E6E6A" w:rsidRPr="002E6E6A">
        <w:rPr>
          <w:rFonts w:ascii="Times New Roman" w:hAnsi="Times New Roman" w:cs="Times New Roman"/>
          <w:i/>
          <w:vertAlign w:val="subscript"/>
          <w:lang w:val="en-GB"/>
        </w:rPr>
        <w:t>CMAX</w:t>
      </w:r>
      <w:r w:rsidR="002E6E6A">
        <w:rPr>
          <w:rFonts w:ascii="Times New Roman" w:hAnsi="Times New Roman" w:cs="Times New Roman"/>
          <w:i/>
          <w:vertAlign w:val="subscript"/>
          <w:lang w:val="en-GB"/>
        </w:rPr>
        <w:t>, c</w:t>
      </w:r>
      <w:r w:rsidR="00691CD3" w:rsidRPr="00691CD3">
        <w:rPr>
          <w:rFonts w:ascii="Times New Roman" w:hAnsi="Times New Roman" w:cs="Times New Roman"/>
          <w:i/>
          <w:lang w:val="en-GB"/>
        </w:rPr>
        <w:t xml:space="preserve"> </w:t>
      </w:r>
      <w:r w:rsidR="00691CD3">
        <w:rPr>
          <w:rFonts w:ascii="Times New Roman" w:hAnsi="Times New Roman" w:cs="Times New Roman"/>
          <w:lang w:val="en-GB"/>
        </w:rPr>
        <w:t xml:space="preserve">should be specified for these two physical channel. </w:t>
      </w:r>
      <w:r w:rsidR="00E74BB8">
        <w:rPr>
          <w:rFonts w:ascii="Times New Roman" w:hAnsi="Times New Roman" w:cs="Times New Roman"/>
          <w:lang w:val="en-GB"/>
        </w:rPr>
        <w:t xml:space="preserve">This is aligned with how RAN1 has decided to capture these agreements in 36.213. </w:t>
      </w:r>
      <w:r w:rsidR="00691CD3">
        <w:rPr>
          <w:rFonts w:ascii="Times New Roman" w:hAnsi="Times New Roman" w:cs="Times New Roman"/>
          <w:lang w:val="en-GB"/>
        </w:rPr>
        <w:t xml:space="preserve">Other physical channels are not supported yet in </w:t>
      </w:r>
      <w:r w:rsidR="00031FBE">
        <w:rPr>
          <w:rFonts w:ascii="Times New Roman" w:hAnsi="Times New Roman" w:cs="Times New Roman"/>
          <w:lang w:val="en-GB"/>
        </w:rPr>
        <w:t>stand-alone</w:t>
      </w:r>
      <w:r w:rsidR="00691CD3">
        <w:rPr>
          <w:rFonts w:ascii="Times New Roman" w:hAnsi="Times New Roman" w:cs="Times New Roman"/>
          <w:lang w:val="en-GB"/>
        </w:rPr>
        <w:t xml:space="preserve"> V2V.</w:t>
      </w:r>
      <w:r w:rsidR="00E74BB8">
        <w:rPr>
          <w:rFonts w:ascii="Times New Roman" w:hAnsi="Times New Roman" w:cs="Times New Roman"/>
          <w:lang w:val="en-GB"/>
        </w:rPr>
        <w:t xml:space="preserve"> </w:t>
      </w:r>
    </w:p>
    <w:p w14:paraId="7AA03357" w14:textId="3841822C" w:rsidR="00691CD3" w:rsidRPr="00031FBE" w:rsidRDefault="00691CD3" w:rsidP="00691CD3">
      <w:pPr>
        <w:rPr>
          <w:rFonts w:ascii="Arial" w:eastAsia="MS Mincho" w:hAnsi="Arial" w:cs="Times New Roman"/>
          <w:sz w:val="20"/>
          <w:szCs w:val="20"/>
          <w:lang w:val="en-GB"/>
        </w:rPr>
      </w:pPr>
      <w:r>
        <w:rPr>
          <w:rFonts w:ascii="Times New Roman" w:hAnsi="Times New Roman" w:cs="Times New Roman"/>
          <w:b/>
          <w:u w:val="single"/>
          <w:lang w:val="en-GB"/>
        </w:rPr>
        <w:t xml:space="preserve">Proposal 3: </w:t>
      </w:r>
      <w:r w:rsidR="00031FBE">
        <w:rPr>
          <w:rFonts w:ascii="Times New Roman" w:hAnsi="Times New Roman" w:cs="Times New Roman"/>
          <w:b/>
          <w:lang w:val="en-GB"/>
        </w:rPr>
        <w:t>O</w:t>
      </w:r>
      <w:r w:rsidRPr="00691CD3">
        <w:rPr>
          <w:rFonts w:ascii="Times New Roman" w:hAnsi="Times New Roman" w:cs="Times New Roman"/>
          <w:b/>
          <w:lang w:val="en-GB"/>
        </w:rPr>
        <w:t xml:space="preserve">nly one common configured transmit power </w:t>
      </w:r>
      <w:r w:rsidR="002E6E6A" w:rsidRPr="002E6E6A">
        <w:rPr>
          <w:rFonts w:ascii="Times New Roman" w:hAnsi="Times New Roman" w:cs="Times New Roman"/>
          <w:b/>
          <w:i/>
          <w:lang w:val="en-GB"/>
        </w:rPr>
        <w:t>P</w:t>
      </w:r>
      <w:r w:rsidR="002E6E6A" w:rsidRPr="002E6E6A">
        <w:rPr>
          <w:rFonts w:ascii="Times New Roman" w:hAnsi="Times New Roman" w:cs="Times New Roman"/>
          <w:b/>
          <w:i/>
          <w:vertAlign w:val="subscript"/>
          <w:lang w:val="en-GB"/>
        </w:rPr>
        <w:t>CMAX, c</w:t>
      </w:r>
      <w:r w:rsidRPr="00691CD3">
        <w:rPr>
          <w:rFonts w:ascii="Times New Roman" w:hAnsi="Times New Roman" w:cs="Times New Roman"/>
          <w:b/>
          <w:i/>
          <w:lang w:val="en-GB"/>
        </w:rPr>
        <w:t xml:space="preserve"> </w:t>
      </w:r>
      <w:r w:rsidRPr="00691CD3">
        <w:rPr>
          <w:rFonts w:ascii="Times New Roman" w:hAnsi="Times New Roman" w:cs="Times New Roman"/>
          <w:b/>
          <w:lang w:val="en-GB"/>
        </w:rPr>
        <w:t>should be specified for V2V PSCCH and PSSCH</w:t>
      </w:r>
      <w:r>
        <w:rPr>
          <w:rFonts w:ascii="Arial" w:eastAsia="MS Mincho" w:hAnsi="Arial" w:cs="Times New Roman"/>
          <w:sz w:val="32"/>
          <w:szCs w:val="20"/>
          <w:lang w:val="en-GB"/>
        </w:rPr>
        <w:t>.</w:t>
      </w:r>
      <w:r w:rsidR="00031FBE">
        <w:rPr>
          <w:rFonts w:ascii="Times New Roman" w:eastAsia="MS Mincho" w:hAnsi="Times New Roman" w:cs="Times New Roman"/>
          <w:b/>
          <w:lang w:val="en-GB"/>
        </w:rPr>
        <w:t xml:space="preserve"> Other physical channels are not supported in stand-alone V2V. </w:t>
      </w:r>
      <w:r w:rsidR="00031FBE">
        <w:rPr>
          <w:rFonts w:ascii="Arial" w:eastAsia="MS Mincho" w:hAnsi="Arial" w:cs="Times New Roman"/>
          <w:sz w:val="32"/>
          <w:szCs w:val="20"/>
          <w:lang w:val="en-GB"/>
        </w:rPr>
        <w:t xml:space="preserve"> </w:t>
      </w:r>
    </w:p>
    <w:p w14:paraId="1BC4BC6D" w14:textId="22B8960D" w:rsidR="002E6E6A" w:rsidRDefault="00691CD3" w:rsidP="00691CD3">
      <w:pPr>
        <w:rPr>
          <w:rFonts w:ascii="Times New Roman" w:hAnsi="Times New Roman" w:cs="Times New Roman"/>
          <w:lang w:val="en-GB"/>
        </w:rPr>
      </w:pPr>
      <w:r w:rsidRPr="00691CD3">
        <w:rPr>
          <w:rFonts w:ascii="Arial" w:eastAsia="MS Mincho" w:hAnsi="Arial" w:cs="Times New Roman"/>
          <w:sz w:val="32"/>
          <w:szCs w:val="20"/>
          <w:lang w:val="en-GB"/>
        </w:rPr>
        <w:t xml:space="preserve"> </w:t>
      </w:r>
      <w:r w:rsidR="00FA11CA">
        <w:rPr>
          <w:rFonts w:ascii="Times New Roman" w:eastAsia="MS Mincho" w:hAnsi="Times New Roman" w:cs="Times New Roman"/>
          <w:lang w:val="en-GB"/>
        </w:rPr>
        <w:t xml:space="preserve">Also, RAN4 is currently considering different method to handle CEN DSRC protection requirements in Region 1. Such method may affect the </w:t>
      </w:r>
      <w:r w:rsidR="002E6E6A" w:rsidRPr="002E6E6A">
        <w:rPr>
          <w:rFonts w:ascii="Times New Roman" w:eastAsia="MS Mincho" w:hAnsi="Times New Roman" w:cs="Times New Roman"/>
          <w:lang w:val="en-GB"/>
        </w:rPr>
        <w:t>definition of</w:t>
      </w:r>
      <w:r w:rsidR="00332AEC">
        <w:rPr>
          <w:rFonts w:ascii="Times New Roman" w:hAnsi="Times New Roman" w:cs="Times New Roman"/>
          <w:lang w:val="en-GB"/>
        </w:rPr>
        <w:t xml:space="preserve"> </w:t>
      </w:r>
      <w:r w:rsidR="002E6E6A" w:rsidRPr="002E6E6A">
        <w:rPr>
          <w:rFonts w:ascii="Times New Roman" w:hAnsi="Times New Roman" w:cs="Times New Roman"/>
          <w:i/>
        </w:rPr>
        <w:t>P</w:t>
      </w:r>
      <w:r w:rsidR="002E6E6A" w:rsidRPr="002E6E6A">
        <w:rPr>
          <w:rFonts w:ascii="Times New Roman" w:hAnsi="Times New Roman" w:cs="Times New Roman"/>
          <w:i/>
          <w:vertAlign w:val="subscript"/>
        </w:rPr>
        <w:t>CMAX_L, c</w:t>
      </w:r>
      <w:r w:rsidR="002E6E6A" w:rsidRPr="002E6E6A">
        <w:rPr>
          <w:rFonts w:ascii="Times New Roman" w:hAnsi="Times New Roman" w:cs="Times New Roman"/>
          <w:i/>
        </w:rPr>
        <w:t xml:space="preserve"> </w:t>
      </w:r>
      <w:r w:rsidR="002E6E6A">
        <w:rPr>
          <w:rFonts w:ascii="Times New Roman" w:hAnsi="Times New Roman" w:cs="Times New Roman"/>
          <w:lang w:val="en-GB"/>
        </w:rPr>
        <w:t>term in the configured transmit power requirement formula.</w:t>
      </w:r>
    </w:p>
    <w:p w14:paraId="5F2F461D" w14:textId="46E153D5" w:rsidR="00FA11CA" w:rsidRDefault="00FA11CA" w:rsidP="00691CD3">
      <w:pPr>
        <w:rPr>
          <w:rFonts w:ascii="Times New Roman" w:hAnsi="Times New Roman" w:cs="Times New Roman"/>
          <w:lang w:val="en-GB"/>
        </w:rPr>
      </w:pPr>
      <w:r>
        <w:rPr>
          <w:rFonts w:ascii="Times New Roman" w:hAnsi="Times New Roman" w:cs="Times New Roman"/>
          <w:lang w:val="en-GB"/>
        </w:rPr>
        <w:t xml:space="preserve"> </w:t>
      </w:r>
      <w:r w:rsidR="00031FBE">
        <w:rPr>
          <w:rFonts w:ascii="Times New Roman" w:hAnsi="Times New Roman" w:cs="Times New Roman"/>
          <w:lang w:val="en-GB"/>
        </w:rPr>
        <w:t>One possible method is to d</w:t>
      </w:r>
      <w:r w:rsidR="002E6E6A">
        <w:rPr>
          <w:rFonts w:ascii="Times New Roman" w:hAnsi="Times New Roman" w:cs="Times New Roman"/>
          <w:lang w:val="en-GB"/>
        </w:rPr>
        <w:t xml:space="preserve">efine a new class of MPR, e.g. </w:t>
      </w:r>
      <w:r w:rsidR="00432306">
        <w:rPr>
          <w:rFonts w:ascii="Times New Roman" w:hAnsi="Times New Roman" w:cs="Times New Roman"/>
          <w:lang w:val="en-GB"/>
        </w:rPr>
        <w:t>D</w:t>
      </w:r>
      <w:r w:rsidR="00031FBE">
        <w:rPr>
          <w:rFonts w:ascii="Times New Roman" w:hAnsi="Times New Roman" w:cs="Times New Roman"/>
          <w:lang w:val="en-GB"/>
        </w:rPr>
        <w:t>-MPR</w:t>
      </w:r>
      <w:r w:rsidR="002E6E6A">
        <w:rPr>
          <w:rFonts w:ascii="Times New Roman" w:hAnsi="Times New Roman" w:cs="Times New Roman"/>
          <w:lang w:val="en-GB"/>
        </w:rPr>
        <w:t xml:space="preserve">, which will be applied </w:t>
      </w:r>
      <w:r w:rsidR="002E6E6A" w:rsidRPr="002E6E6A">
        <w:rPr>
          <w:rFonts w:ascii="Times New Roman" w:hAnsi="Times New Roman" w:cs="Times New Roman"/>
          <w:i/>
          <w:u w:val="single"/>
          <w:lang w:val="en-GB"/>
        </w:rPr>
        <w:t>in addition</w:t>
      </w:r>
      <w:r w:rsidR="002E6E6A">
        <w:rPr>
          <w:rFonts w:ascii="Times New Roman" w:hAnsi="Times New Roman" w:cs="Times New Roman"/>
          <w:lang w:val="en-GB"/>
        </w:rPr>
        <w:t xml:space="preserve"> to MPR and A-MPR whenever a UE is within the protected communication zone of CEN DSRC devices</w:t>
      </w:r>
      <w:r w:rsidR="003E130B">
        <w:rPr>
          <w:rFonts w:ascii="Times New Roman" w:hAnsi="Times New Roman" w:cs="Times New Roman"/>
          <w:lang w:val="en-GB"/>
        </w:rPr>
        <w:t xml:space="preserve"> [2]</w:t>
      </w:r>
      <w:r w:rsidR="002E6E6A">
        <w:rPr>
          <w:rFonts w:ascii="Times New Roman" w:hAnsi="Times New Roman" w:cs="Times New Roman"/>
          <w:lang w:val="en-GB"/>
        </w:rPr>
        <w:t xml:space="preserve">. With this, the definition of </w:t>
      </w:r>
      <w:r w:rsidR="002E6E6A" w:rsidRPr="002E6E6A">
        <w:rPr>
          <w:rFonts w:ascii="Times New Roman" w:hAnsi="Times New Roman" w:cs="Times New Roman"/>
          <w:i/>
        </w:rPr>
        <w:t>P</w:t>
      </w:r>
      <w:r w:rsidR="002E6E6A" w:rsidRPr="002E6E6A">
        <w:rPr>
          <w:rFonts w:ascii="Times New Roman" w:hAnsi="Times New Roman" w:cs="Times New Roman"/>
          <w:i/>
          <w:vertAlign w:val="subscript"/>
        </w:rPr>
        <w:t>CMAX_L, c</w:t>
      </w:r>
      <w:r w:rsidR="002E6E6A" w:rsidRPr="002E6E6A">
        <w:rPr>
          <w:rFonts w:ascii="Times New Roman" w:hAnsi="Times New Roman" w:cs="Times New Roman"/>
          <w:i/>
        </w:rPr>
        <w:t xml:space="preserve"> </w:t>
      </w:r>
      <w:r w:rsidR="002E6E6A">
        <w:rPr>
          <w:rFonts w:ascii="Times New Roman" w:hAnsi="Times New Roman" w:cs="Times New Roman"/>
          <w:lang w:val="en-GB"/>
        </w:rPr>
        <w:t>becomes</w:t>
      </w:r>
    </w:p>
    <w:p w14:paraId="6B96D54A" w14:textId="6EBE4C18" w:rsidR="002E6E6A" w:rsidRDefault="002E6E6A" w:rsidP="002E6E6A">
      <w:pPr>
        <w:pStyle w:val="EQ"/>
        <w:rPr>
          <w:noProof w:val="0"/>
          <w:lang w:bidi="bn-IN"/>
        </w:rPr>
      </w:pPr>
      <w:r>
        <w:rPr>
          <w:noProof w:val="0"/>
          <w:lang w:bidi="bn-IN"/>
        </w:rPr>
        <w:t>P</w:t>
      </w:r>
      <w:r>
        <w:rPr>
          <w:noProof w:val="0"/>
          <w:vertAlign w:val="subscript"/>
          <w:lang w:bidi="bn-IN"/>
        </w:rPr>
        <w:t>CMAX_L</w:t>
      </w:r>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 xml:space="preserve">, </w:t>
      </w:r>
      <w:r>
        <w:rPr>
          <w:rFonts w:cs="Vrinda"/>
          <w:i/>
          <w:noProof w:val="0"/>
          <w:vertAlign w:val="subscript"/>
          <w:lang w:bidi="bn-IN"/>
        </w:rPr>
        <w:t>c</w:t>
      </w:r>
      <w:r>
        <w:rPr>
          <w:noProof w:val="0"/>
          <w:vertAlign w:val="subscript"/>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 xml:space="preserve">, </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 xml:space="preserve"> – MAX (MPR</w:t>
      </w:r>
      <w:r>
        <w:rPr>
          <w:rFonts w:cs="Vrinda"/>
          <w:i/>
          <w:noProof w:val="0"/>
          <w:vertAlign w:val="subscript"/>
          <w:lang w:bidi="bn-IN"/>
        </w:rPr>
        <w:t>c</w:t>
      </w:r>
      <w:r>
        <w:rPr>
          <w:noProof w:val="0"/>
          <w:lang w:bidi="bn-IN"/>
        </w:rPr>
        <w:t xml:space="preserve"> + </w:t>
      </w:r>
      <w:r w:rsidR="00166647">
        <w:rPr>
          <w:noProof w:val="0"/>
          <w:lang w:bidi="bn-IN"/>
        </w:rPr>
        <w:t>MAX (</w:t>
      </w:r>
      <w:r>
        <w:rPr>
          <w:noProof w:val="0"/>
          <w:lang w:bidi="bn-IN"/>
        </w:rPr>
        <w:t>A-MPR</w:t>
      </w:r>
      <w:r>
        <w:rPr>
          <w:rFonts w:cs="Vrinda"/>
          <w:i/>
          <w:noProof w:val="0"/>
          <w:vertAlign w:val="subscript"/>
          <w:lang w:bidi="bn-IN"/>
        </w:rPr>
        <w:t>c</w:t>
      </w:r>
      <w:r w:rsidR="00432306">
        <w:rPr>
          <w:noProof w:val="0"/>
          <w:lang w:bidi="bn-IN"/>
        </w:rPr>
        <w:t>, D-MPR)</w:t>
      </w:r>
      <w:r>
        <w:rPr>
          <w:noProof w:val="0"/>
          <w:lang w:bidi="bn-IN"/>
        </w:rPr>
        <w:t xml:space="preserve">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ProSe</w:t>
      </w:r>
      <w:r>
        <w:rPr>
          <w:noProof w:val="0"/>
          <w:lang w:bidi="bn-IN"/>
        </w:rPr>
        <w:t>, P-MPR</w:t>
      </w:r>
      <w:r>
        <w:rPr>
          <w:rFonts w:cs="Vrinda"/>
          <w:i/>
          <w:noProof w:val="0"/>
          <w:vertAlign w:val="subscript"/>
          <w:lang w:bidi="bn-IN"/>
        </w:rPr>
        <w:t>c</w:t>
      </w:r>
      <w:r>
        <w:rPr>
          <w:noProof w:val="0"/>
          <w:lang w:bidi="bn-IN"/>
        </w:rPr>
        <w:t>)}</w:t>
      </w:r>
      <w:r w:rsidR="000A15EA">
        <w:rPr>
          <w:noProof w:val="0"/>
          <w:lang w:bidi="bn-IN"/>
        </w:rPr>
        <w:t>,</w:t>
      </w:r>
    </w:p>
    <w:p w14:paraId="1AA05E14" w14:textId="2B97850C" w:rsidR="000A15EA" w:rsidRPr="000A15EA" w:rsidRDefault="000A15EA" w:rsidP="000A15EA">
      <w:r>
        <w:rPr>
          <w:rFonts w:ascii="Times New Roman" w:hAnsi="Times New Roman" w:cs="Times New Roman"/>
          <w:lang w:val="en-GB" w:bidi="bn-IN"/>
        </w:rPr>
        <w:t>w</w:t>
      </w:r>
      <w:r w:rsidRPr="000A15EA">
        <w:rPr>
          <w:rFonts w:ascii="Times New Roman" w:hAnsi="Times New Roman" w:cs="Times New Roman"/>
          <w:lang w:val="en-GB" w:bidi="bn-IN"/>
        </w:rPr>
        <w:t>here</w:t>
      </w:r>
      <w:r>
        <w:rPr>
          <w:lang w:val="en-GB" w:bidi="bn-IN"/>
        </w:rPr>
        <w:t xml:space="preserve"> </w:t>
      </w:r>
      <w:r w:rsidRPr="00954533">
        <w:rPr>
          <w:rFonts w:ascii="Times New Roman" w:hAnsi="Times New Roman" w:cs="Times New Roman"/>
        </w:rPr>
        <w:t xml:space="preserve">unless stated otherwise, a </w:t>
      </w:r>
      <w:r w:rsidR="00166647">
        <w:rPr>
          <w:rFonts w:ascii="Times New Roman" w:hAnsi="Times New Roman" w:cs="Times New Roman"/>
        </w:rPr>
        <w:t>D</w:t>
      </w:r>
      <w:r w:rsidRPr="00954533">
        <w:rPr>
          <w:rFonts w:ascii="Times New Roman" w:hAnsi="Times New Roman" w:cs="Times New Roman"/>
        </w:rPr>
        <w:t>-MPR of 0 dB shall be used.</w:t>
      </w:r>
      <w:r>
        <w:t xml:space="preserve"> </w:t>
      </w:r>
    </w:p>
    <w:p w14:paraId="12C0E4AF" w14:textId="268AFA8B" w:rsidR="00DF67E5" w:rsidRDefault="00FA11CA" w:rsidP="00691CD3">
      <w:pPr>
        <w:rPr>
          <w:rFonts w:ascii="Times New Roman" w:hAnsi="Times New Roman" w:cs="Times New Roman"/>
          <w:b/>
          <w:lang w:val="en-GB"/>
        </w:rPr>
      </w:pPr>
      <w:r>
        <w:rPr>
          <w:rFonts w:ascii="Times New Roman" w:hAnsi="Times New Roman" w:cs="Times New Roman"/>
          <w:lang w:val="en-GB"/>
        </w:rPr>
        <w:t xml:space="preserve"> </w:t>
      </w:r>
      <w:r>
        <w:rPr>
          <w:rFonts w:ascii="Times New Roman" w:hAnsi="Times New Roman" w:cs="Times New Roman"/>
          <w:b/>
          <w:u w:val="single"/>
          <w:lang w:val="en-GB"/>
        </w:rPr>
        <w:t xml:space="preserve">Proposal 4: </w:t>
      </w:r>
      <w:r w:rsidR="00332AEC" w:rsidRPr="00332AEC">
        <w:rPr>
          <w:rFonts w:ascii="Times New Roman" w:eastAsia="MS Mincho" w:hAnsi="Times New Roman" w:cs="Times New Roman"/>
          <w:b/>
          <w:lang w:val="en-GB"/>
        </w:rPr>
        <w:t xml:space="preserve">the </w:t>
      </w:r>
      <w:r w:rsidR="00332AEC" w:rsidRPr="00332AEC">
        <w:rPr>
          <w:rFonts w:ascii="Times New Roman" w:hAnsi="Times New Roman" w:cs="Times New Roman"/>
          <w:b/>
          <w:lang w:val="en-GB"/>
        </w:rPr>
        <w:t xml:space="preserve">formula for </w:t>
      </w:r>
      <w:r w:rsidR="002E6E6A" w:rsidRPr="002E6E6A">
        <w:rPr>
          <w:rFonts w:ascii="Times New Roman" w:hAnsi="Times New Roman" w:cs="Times New Roman"/>
          <w:b/>
          <w:i/>
        </w:rPr>
        <w:t>P</w:t>
      </w:r>
      <w:r w:rsidR="002E6E6A" w:rsidRPr="002E6E6A">
        <w:rPr>
          <w:rFonts w:ascii="Times New Roman" w:hAnsi="Times New Roman" w:cs="Times New Roman"/>
          <w:b/>
          <w:i/>
          <w:vertAlign w:val="subscript"/>
        </w:rPr>
        <w:t>CMAX_L, c</w:t>
      </w:r>
      <w:r w:rsidR="002E6E6A" w:rsidRPr="002E6E6A">
        <w:rPr>
          <w:rFonts w:ascii="Times New Roman" w:hAnsi="Times New Roman" w:cs="Times New Roman"/>
          <w:b/>
          <w:i/>
        </w:rPr>
        <w:t xml:space="preserve"> </w:t>
      </w:r>
      <w:r w:rsidR="00332AEC" w:rsidRPr="00332AEC">
        <w:rPr>
          <w:rFonts w:ascii="Times New Roman" w:hAnsi="Times New Roman" w:cs="Times New Roman"/>
          <w:b/>
          <w:lang w:val="en-GB"/>
        </w:rPr>
        <w:t xml:space="preserve">is </w:t>
      </w:r>
      <w:r w:rsidR="002E6E6A">
        <w:rPr>
          <w:rFonts w:ascii="Times New Roman" w:hAnsi="Times New Roman" w:cs="Times New Roman"/>
          <w:b/>
          <w:lang w:val="en-GB"/>
        </w:rPr>
        <w:t>s</w:t>
      </w:r>
      <w:r w:rsidR="00DF67E5">
        <w:rPr>
          <w:rFonts w:ascii="Times New Roman" w:hAnsi="Times New Roman" w:cs="Times New Roman"/>
          <w:b/>
          <w:lang w:val="en-GB"/>
        </w:rPr>
        <w:t>pecified as</w:t>
      </w:r>
    </w:p>
    <w:p w14:paraId="096C1F22" w14:textId="32DFBDCC" w:rsidR="00432306" w:rsidRDefault="00432306" w:rsidP="00432306">
      <w:pPr>
        <w:pStyle w:val="EQ"/>
        <w:rPr>
          <w:noProof w:val="0"/>
          <w:lang w:bidi="bn-IN"/>
        </w:rPr>
      </w:pPr>
      <w:r>
        <w:rPr>
          <w:noProof w:val="0"/>
          <w:lang w:bidi="bn-IN"/>
        </w:rPr>
        <w:t>P</w:t>
      </w:r>
      <w:r>
        <w:rPr>
          <w:noProof w:val="0"/>
          <w:vertAlign w:val="subscript"/>
          <w:lang w:bidi="bn-IN"/>
        </w:rPr>
        <w:t>CMAX_L</w:t>
      </w:r>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 xml:space="preserve">, </w:t>
      </w:r>
      <w:r>
        <w:rPr>
          <w:rFonts w:cs="Vrinda"/>
          <w:i/>
          <w:noProof w:val="0"/>
          <w:vertAlign w:val="subscript"/>
          <w:lang w:bidi="bn-IN"/>
        </w:rPr>
        <w:t>c</w:t>
      </w:r>
      <w:r>
        <w:rPr>
          <w:noProof w:val="0"/>
          <w:vertAlign w:val="subscript"/>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 xml:space="preserve">, </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 xml:space="preserve"> – MAX (</w:t>
      </w:r>
      <w:r w:rsidR="00166647">
        <w:rPr>
          <w:noProof w:val="0"/>
          <w:lang w:bidi="bn-IN"/>
        </w:rPr>
        <w:t>MPR</w:t>
      </w:r>
      <w:r w:rsidR="00166647">
        <w:rPr>
          <w:rFonts w:cs="Vrinda"/>
          <w:i/>
          <w:noProof w:val="0"/>
          <w:vertAlign w:val="subscript"/>
          <w:lang w:bidi="bn-IN"/>
        </w:rPr>
        <w:t>c</w:t>
      </w:r>
      <w:r w:rsidR="00166647">
        <w:rPr>
          <w:noProof w:val="0"/>
          <w:lang w:bidi="bn-IN"/>
        </w:rPr>
        <w:t xml:space="preserve"> + MAX (A-MPR</w:t>
      </w:r>
      <w:r w:rsidR="00166647">
        <w:rPr>
          <w:rFonts w:cs="Vrinda"/>
          <w:i/>
          <w:noProof w:val="0"/>
          <w:vertAlign w:val="subscript"/>
          <w:lang w:bidi="bn-IN"/>
        </w:rPr>
        <w:t>c</w:t>
      </w:r>
      <w:r w:rsidR="00166647">
        <w:rPr>
          <w:noProof w:val="0"/>
          <w:lang w:bidi="bn-IN"/>
        </w:rPr>
        <w:t xml:space="preserve">, D-MPR) </w:t>
      </w:r>
      <w:r>
        <w:rPr>
          <w:noProof w:val="0"/>
          <w:lang w:bidi="bn-IN"/>
        </w:rPr>
        <w:t>+</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ProSe</w:t>
      </w:r>
      <w:r>
        <w:rPr>
          <w:noProof w:val="0"/>
          <w:lang w:bidi="bn-IN"/>
        </w:rPr>
        <w:t>, P-MPR</w:t>
      </w:r>
      <w:r>
        <w:rPr>
          <w:rFonts w:cs="Vrinda"/>
          <w:i/>
          <w:noProof w:val="0"/>
          <w:vertAlign w:val="subscript"/>
          <w:lang w:bidi="bn-IN"/>
        </w:rPr>
        <w:t>c</w:t>
      </w:r>
      <w:r>
        <w:rPr>
          <w:noProof w:val="0"/>
          <w:lang w:bidi="bn-IN"/>
        </w:rPr>
        <w:t>)},</w:t>
      </w:r>
    </w:p>
    <w:p w14:paraId="49B4576E" w14:textId="6ED7F83F" w:rsidR="00DF67E5" w:rsidRPr="00DF67E5" w:rsidRDefault="00DF67E5" w:rsidP="00691CD3">
      <w:pPr>
        <w:rPr>
          <w:b/>
        </w:rPr>
      </w:pPr>
      <w:r w:rsidRPr="00DF67E5">
        <w:rPr>
          <w:rFonts w:ascii="Times New Roman" w:hAnsi="Times New Roman" w:cs="Times New Roman"/>
          <w:b/>
          <w:lang w:val="en-GB" w:bidi="bn-IN"/>
        </w:rPr>
        <w:t>where</w:t>
      </w:r>
      <w:r w:rsidRPr="00DF67E5">
        <w:rPr>
          <w:b/>
          <w:lang w:val="en-GB" w:bidi="bn-IN"/>
        </w:rPr>
        <w:t xml:space="preserve"> </w:t>
      </w:r>
      <w:r w:rsidRPr="00DF67E5">
        <w:rPr>
          <w:rFonts w:ascii="Times New Roman" w:hAnsi="Times New Roman" w:cs="Times New Roman"/>
          <w:b/>
        </w:rPr>
        <w:t xml:space="preserve">unless stated otherwise, a </w:t>
      </w:r>
      <w:r w:rsidR="00166647">
        <w:rPr>
          <w:rFonts w:ascii="Times New Roman" w:hAnsi="Times New Roman" w:cs="Times New Roman"/>
          <w:b/>
        </w:rPr>
        <w:t>D</w:t>
      </w:r>
      <w:r w:rsidRPr="00DF67E5">
        <w:rPr>
          <w:rFonts w:ascii="Times New Roman" w:hAnsi="Times New Roman" w:cs="Times New Roman"/>
          <w:b/>
        </w:rPr>
        <w:t>-MPR of 0 dB shall be used.</w:t>
      </w:r>
      <w:r w:rsidRPr="00DF67E5">
        <w:rPr>
          <w:b/>
        </w:rPr>
        <w:t xml:space="preserve"> </w:t>
      </w:r>
    </w:p>
    <w:p w14:paraId="76625DDC" w14:textId="7B264672" w:rsidR="00432306" w:rsidRDefault="00646340" w:rsidP="00166647">
      <w:pPr>
        <w:pStyle w:val="Heading2"/>
        <w:rPr>
          <w:b/>
        </w:rPr>
      </w:pPr>
      <w:r>
        <w:t xml:space="preserve">In-band Emission </w:t>
      </w:r>
    </w:p>
    <w:p w14:paraId="697F3F0F" w14:textId="4D59EBFE" w:rsidR="00432306" w:rsidRDefault="00432306" w:rsidP="00332AEC">
      <w:pPr>
        <w:rPr>
          <w:rFonts w:ascii="Times New Roman" w:hAnsi="Times New Roman" w:cs="Times New Roman"/>
          <w:lang w:val="en-GB"/>
        </w:rPr>
      </w:pPr>
      <w:r w:rsidRPr="00432306">
        <w:rPr>
          <w:rFonts w:ascii="Times New Roman" w:hAnsi="Times New Roman" w:cs="Times New Roman"/>
          <w:lang w:val="en-GB"/>
        </w:rPr>
        <w:t>The current</w:t>
      </w:r>
      <w:r>
        <w:rPr>
          <w:rFonts w:ascii="Times New Roman" w:hAnsi="Times New Roman" w:cs="Times New Roman"/>
          <w:lang w:val="en-GB"/>
        </w:rPr>
        <w:t xml:space="preserve"> LTE IBE specification</w:t>
      </w:r>
      <w:r w:rsidR="003E130B">
        <w:rPr>
          <w:rFonts w:ascii="Times New Roman" w:hAnsi="Times New Roman" w:cs="Times New Roman"/>
          <w:lang w:val="en-GB"/>
        </w:rPr>
        <w:t xml:space="preserve"> [1]</w:t>
      </w:r>
      <w:r>
        <w:rPr>
          <w:rFonts w:ascii="Times New Roman" w:hAnsi="Times New Roman" w:cs="Times New Roman"/>
          <w:lang w:val="en-GB"/>
        </w:rPr>
        <w:t xml:space="preserve"> is as follow</w:t>
      </w:r>
    </w:p>
    <w:p w14:paraId="3680C8B9" w14:textId="77777777" w:rsidR="00432306" w:rsidRPr="0032110F" w:rsidRDefault="00432306" w:rsidP="00432306">
      <w:pPr>
        <w:pStyle w:val="TH"/>
      </w:pPr>
      <w:r w:rsidRPr="0032110F">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32306" w:rsidRPr="0032110F" w14:paraId="0734C96A" w14:textId="77777777" w:rsidTr="007A5DA7">
        <w:trPr>
          <w:jc w:val="center"/>
        </w:trPr>
        <w:tc>
          <w:tcPr>
            <w:tcW w:w="1205" w:type="dxa"/>
            <w:tcBorders>
              <w:bottom w:val="single" w:sz="4" w:space="0" w:color="auto"/>
              <w:right w:val="single" w:sz="4" w:space="0" w:color="auto"/>
            </w:tcBorders>
            <w:shd w:val="clear" w:color="auto" w:fill="auto"/>
            <w:vAlign w:val="center"/>
          </w:tcPr>
          <w:p w14:paraId="05A13DAC" w14:textId="77777777" w:rsidR="00432306" w:rsidRPr="00315BC9" w:rsidRDefault="00432306" w:rsidP="007A5DA7">
            <w:pPr>
              <w:pStyle w:val="TAH"/>
              <w:rPr>
                <w:rFonts w:cs="Arial"/>
                <w:i/>
                <w:iCs/>
              </w:rPr>
            </w:pPr>
            <w:r w:rsidRPr="00315BC9">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5C7A882" w14:textId="77777777" w:rsidR="00432306" w:rsidRPr="00315BC9" w:rsidRDefault="00432306" w:rsidP="007A5DA7">
            <w:pPr>
              <w:pStyle w:val="TAH"/>
              <w:rPr>
                <w:rFonts w:cs="Arial"/>
              </w:rPr>
            </w:pPr>
            <w:r w:rsidRPr="00315BC9">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7983F79" w14:textId="77777777" w:rsidR="00432306" w:rsidRPr="00315BC9" w:rsidRDefault="00432306" w:rsidP="007A5DA7">
            <w:pPr>
              <w:pStyle w:val="TAH"/>
              <w:rPr>
                <w:rFonts w:cs="Arial"/>
              </w:rPr>
            </w:pPr>
            <w:r w:rsidRPr="00315BC9">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16C7B9EF" w14:textId="77777777" w:rsidR="00432306" w:rsidRPr="00315BC9" w:rsidRDefault="00432306" w:rsidP="007A5DA7">
            <w:pPr>
              <w:pStyle w:val="TAH"/>
              <w:rPr>
                <w:rFonts w:cs="Arial"/>
              </w:rPr>
            </w:pPr>
            <w:r w:rsidRPr="00315BC9">
              <w:rPr>
                <w:rFonts w:cs="Arial"/>
              </w:rPr>
              <w:t>Applicable Frequencies</w:t>
            </w:r>
          </w:p>
        </w:tc>
      </w:tr>
      <w:tr w:rsidR="00432306" w:rsidRPr="0032110F" w14:paraId="0E783E2E" w14:textId="77777777" w:rsidTr="007A5DA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F1F94D8" w14:textId="77777777" w:rsidR="00432306" w:rsidRPr="00315BC9" w:rsidRDefault="00432306" w:rsidP="007A5DA7">
            <w:pPr>
              <w:pStyle w:val="TAH"/>
              <w:rPr>
                <w:rFonts w:cs="Arial"/>
              </w:rPr>
            </w:pPr>
            <w:r w:rsidRPr="00315BC9">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99DD1D3" w14:textId="77777777" w:rsidR="00432306" w:rsidRPr="00315BC9" w:rsidRDefault="00432306" w:rsidP="007A5DA7">
            <w:pPr>
              <w:pStyle w:val="TAC"/>
              <w:rPr>
                <w:rFonts w:cs="Arial"/>
              </w:rPr>
            </w:pPr>
            <w:r w:rsidRPr="00315BC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46875DB3" w14:textId="77777777" w:rsidR="00432306" w:rsidRPr="00315BC9" w:rsidRDefault="00432306" w:rsidP="007A5DA7">
            <w:pPr>
              <w:pStyle w:val="TAC"/>
              <w:rPr>
                <w:rFonts w:cs="Arial"/>
              </w:rPr>
            </w:pPr>
            <w:r w:rsidRPr="00315BC9">
              <w:rPr>
                <w:rFonts w:cs="Arial"/>
                <w:position w:val="-50"/>
              </w:rPr>
              <w:object w:dxaOrig="3900" w:dyaOrig="1120" w14:anchorId="5B375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45pt" o:ole="">
                  <v:imagedata r:id="rId11" o:title=""/>
                </v:shape>
                <o:OLEObject Type="Embed" ProgID="Equation.3" ShapeID="_x0000_i1025" DrawAspect="Content" ObjectID="_1539947142" r:id="rId12"/>
              </w:object>
            </w:r>
          </w:p>
        </w:tc>
        <w:tc>
          <w:tcPr>
            <w:tcW w:w="1682" w:type="dxa"/>
            <w:tcBorders>
              <w:top w:val="single" w:sz="4" w:space="0" w:color="auto"/>
              <w:left w:val="single" w:sz="4" w:space="0" w:color="auto"/>
              <w:bottom w:val="single" w:sz="4" w:space="0" w:color="auto"/>
              <w:right w:val="single" w:sz="4" w:space="0" w:color="auto"/>
            </w:tcBorders>
            <w:vAlign w:val="center"/>
          </w:tcPr>
          <w:p w14:paraId="522271E5" w14:textId="77777777" w:rsidR="00432306" w:rsidRPr="00315BC9" w:rsidRDefault="00432306" w:rsidP="007A5DA7">
            <w:pPr>
              <w:pStyle w:val="TAC"/>
              <w:rPr>
                <w:rFonts w:cs="Arial"/>
              </w:rPr>
            </w:pPr>
            <w:r w:rsidRPr="00315BC9">
              <w:rPr>
                <w:rFonts w:cs="Arial"/>
              </w:rPr>
              <w:t>Any non-allocated (NOTE 2)</w:t>
            </w:r>
          </w:p>
        </w:tc>
      </w:tr>
      <w:tr w:rsidR="00432306" w:rsidRPr="0032110F" w14:paraId="2BE48DB2" w14:textId="77777777" w:rsidTr="007A5DA7">
        <w:trPr>
          <w:jc w:val="center"/>
        </w:trPr>
        <w:tc>
          <w:tcPr>
            <w:tcW w:w="1205" w:type="dxa"/>
            <w:vMerge w:val="restart"/>
            <w:tcBorders>
              <w:top w:val="single" w:sz="4" w:space="0" w:color="auto"/>
              <w:right w:val="single" w:sz="4" w:space="0" w:color="auto"/>
            </w:tcBorders>
            <w:shd w:val="clear" w:color="auto" w:fill="auto"/>
            <w:vAlign w:val="center"/>
          </w:tcPr>
          <w:p w14:paraId="35F611F9" w14:textId="77777777" w:rsidR="00432306" w:rsidRPr="00315BC9" w:rsidRDefault="00432306" w:rsidP="007A5DA7">
            <w:pPr>
              <w:pStyle w:val="TAH"/>
              <w:rPr>
                <w:rFonts w:cs="Arial"/>
              </w:rPr>
            </w:pPr>
            <w:r w:rsidRPr="00315BC9">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3C1C5E31" w14:textId="77777777" w:rsidR="00432306" w:rsidRPr="00315BC9" w:rsidRDefault="00432306" w:rsidP="007A5DA7">
            <w:pPr>
              <w:pStyle w:val="TAC"/>
              <w:rPr>
                <w:rFonts w:cs="Arial"/>
              </w:rPr>
            </w:pPr>
            <w:r w:rsidRPr="00315BC9">
              <w:rPr>
                <w:rFonts w:cs="Arial"/>
              </w:rPr>
              <w:t>dB</w:t>
            </w:r>
          </w:p>
        </w:tc>
        <w:tc>
          <w:tcPr>
            <w:tcW w:w="1265" w:type="dxa"/>
            <w:tcBorders>
              <w:top w:val="single" w:sz="4" w:space="0" w:color="auto"/>
              <w:left w:val="single" w:sz="4" w:space="0" w:color="auto"/>
              <w:right w:val="single" w:sz="4" w:space="0" w:color="auto"/>
            </w:tcBorders>
            <w:vAlign w:val="center"/>
          </w:tcPr>
          <w:p w14:paraId="27564463" w14:textId="77777777" w:rsidR="00432306" w:rsidRPr="00315BC9" w:rsidRDefault="00432306" w:rsidP="007A5DA7">
            <w:pPr>
              <w:pStyle w:val="TAC"/>
              <w:rPr>
                <w:rFonts w:cs="Arial"/>
              </w:rPr>
            </w:pPr>
            <w:r w:rsidRPr="00315BC9">
              <w:rPr>
                <w:rFonts w:cs="Arial"/>
              </w:rPr>
              <w:t>-28</w:t>
            </w:r>
          </w:p>
        </w:tc>
        <w:tc>
          <w:tcPr>
            <w:tcW w:w="4155" w:type="dxa"/>
            <w:tcBorders>
              <w:top w:val="single" w:sz="4" w:space="0" w:color="auto"/>
              <w:left w:val="single" w:sz="4" w:space="0" w:color="auto"/>
              <w:right w:val="single" w:sz="4" w:space="0" w:color="auto"/>
            </w:tcBorders>
            <w:vAlign w:val="center"/>
          </w:tcPr>
          <w:p w14:paraId="338A417D" w14:textId="77777777" w:rsidR="00432306" w:rsidRPr="00315BC9" w:rsidRDefault="00432306" w:rsidP="007A5DA7">
            <w:pPr>
              <w:pStyle w:val="TAL"/>
              <w:rPr>
                <w:rFonts w:cs="Arial"/>
              </w:rPr>
            </w:pPr>
            <w:r w:rsidRPr="00315BC9">
              <w:rPr>
                <w:rFonts w:cs="Arial"/>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59FF22BD" w14:textId="77777777" w:rsidR="00432306" w:rsidRPr="00315BC9" w:rsidRDefault="00432306" w:rsidP="007A5DA7">
            <w:pPr>
              <w:pStyle w:val="TAC"/>
              <w:rPr>
                <w:rFonts w:cs="Arial"/>
              </w:rPr>
            </w:pPr>
            <w:r w:rsidRPr="00315BC9">
              <w:rPr>
                <w:rFonts w:cs="Arial"/>
              </w:rPr>
              <w:t>Image frequencies (NOTES 2, 3)</w:t>
            </w:r>
          </w:p>
        </w:tc>
      </w:tr>
      <w:tr w:rsidR="00432306" w:rsidRPr="0032110F" w14:paraId="2E0089DA" w14:textId="77777777" w:rsidTr="007A5DA7">
        <w:trPr>
          <w:jc w:val="center"/>
        </w:trPr>
        <w:tc>
          <w:tcPr>
            <w:tcW w:w="1205" w:type="dxa"/>
            <w:vMerge/>
            <w:tcBorders>
              <w:right w:val="single" w:sz="4" w:space="0" w:color="auto"/>
            </w:tcBorders>
            <w:shd w:val="clear" w:color="auto" w:fill="auto"/>
            <w:vAlign w:val="center"/>
          </w:tcPr>
          <w:p w14:paraId="7A1CA1C1" w14:textId="77777777" w:rsidR="00432306" w:rsidRPr="00315BC9" w:rsidRDefault="00432306" w:rsidP="007A5DA7">
            <w:pPr>
              <w:pStyle w:val="TAH"/>
              <w:rPr>
                <w:rFonts w:cs="Arial"/>
              </w:rPr>
            </w:pPr>
          </w:p>
        </w:tc>
        <w:tc>
          <w:tcPr>
            <w:tcW w:w="1293" w:type="dxa"/>
            <w:vMerge/>
            <w:tcBorders>
              <w:left w:val="single" w:sz="4" w:space="0" w:color="auto"/>
              <w:right w:val="single" w:sz="4" w:space="0" w:color="auto"/>
            </w:tcBorders>
            <w:vAlign w:val="center"/>
          </w:tcPr>
          <w:p w14:paraId="37765CE1"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52D5EFA4" w14:textId="77777777" w:rsidR="00432306" w:rsidRPr="00315BC9" w:rsidRDefault="00432306" w:rsidP="007A5DA7">
            <w:pPr>
              <w:pStyle w:val="TAC"/>
              <w:rPr>
                <w:rFonts w:cs="Arial"/>
              </w:rPr>
            </w:pPr>
            <w:r w:rsidRPr="00315BC9">
              <w:rPr>
                <w:rFonts w:cs="Arial"/>
              </w:rPr>
              <w:t>-25</w:t>
            </w:r>
          </w:p>
        </w:tc>
        <w:tc>
          <w:tcPr>
            <w:tcW w:w="4155" w:type="dxa"/>
            <w:tcBorders>
              <w:top w:val="single" w:sz="4" w:space="0" w:color="auto"/>
              <w:left w:val="single" w:sz="4" w:space="0" w:color="auto"/>
              <w:right w:val="single" w:sz="4" w:space="0" w:color="auto"/>
            </w:tcBorders>
            <w:vAlign w:val="center"/>
          </w:tcPr>
          <w:p w14:paraId="7457407D" w14:textId="77777777" w:rsidR="00432306" w:rsidRPr="00315BC9" w:rsidRDefault="00432306" w:rsidP="007A5DA7">
            <w:pPr>
              <w:pStyle w:val="TAL"/>
              <w:rPr>
                <w:rFonts w:cs="Arial"/>
              </w:rPr>
            </w:pPr>
            <w:r w:rsidRPr="00315BC9">
              <w:rPr>
                <w:rFonts w:cs="Arial"/>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5251FA6A" w14:textId="77777777" w:rsidR="00432306" w:rsidRPr="00315BC9" w:rsidRDefault="00432306" w:rsidP="007A5DA7">
            <w:pPr>
              <w:pStyle w:val="TAC"/>
              <w:rPr>
                <w:rFonts w:cs="Arial"/>
              </w:rPr>
            </w:pPr>
          </w:p>
        </w:tc>
      </w:tr>
      <w:tr w:rsidR="00432306" w:rsidRPr="0032110F" w14:paraId="24E935AC" w14:textId="77777777" w:rsidTr="007A5DA7">
        <w:trPr>
          <w:jc w:val="center"/>
        </w:trPr>
        <w:tc>
          <w:tcPr>
            <w:tcW w:w="1205" w:type="dxa"/>
            <w:vMerge/>
            <w:tcBorders>
              <w:right w:val="single" w:sz="4" w:space="0" w:color="auto"/>
            </w:tcBorders>
            <w:shd w:val="clear" w:color="auto" w:fill="auto"/>
            <w:vAlign w:val="center"/>
          </w:tcPr>
          <w:p w14:paraId="65B545C3" w14:textId="77777777" w:rsidR="00432306" w:rsidRPr="00315BC9" w:rsidRDefault="00432306" w:rsidP="007A5DA7">
            <w:pPr>
              <w:pStyle w:val="TAH"/>
              <w:rPr>
                <w:rFonts w:cs="Arial"/>
              </w:rPr>
            </w:pPr>
          </w:p>
        </w:tc>
        <w:tc>
          <w:tcPr>
            <w:tcW w:w="1293" w:type="dxa"/>
            <w:vMerge/>
            <w:tcBorders>
              <w:left w:val="single" w:sz="4" w:space="0" w:color="auto"/>
              <w:right w:val="single" w:sz="4" w:space="0" w:color="auto"/>
            </w:tcBorders>
            <w:vAlign w:val="center"/>
          </w:tcPr>
          <w:p w14:paraId="7642344F"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64DDBF2C" w14:textId="77777777" w:rsidR="00432306" w:rsidRPr="00315BC9" w:rsidRDefault="00432306" w:rsidP="007A5DA7">
            <w:pPr>
              <w:pStyle w:val="TAC"/>
              <w:rPr>
                <w:rFonts w:cs="Arial"/>
              </w:rPr>
            </w:pPr>
            <w:r w:rsidRPr="00315BC9">
              <w:rPr>
                <w:rFonts w:cs="Arial"/>
              </w:rPr>
              <w:t>-25</w:t>
            </w:r>
          </w:p>
        </w:tc>
        <w:tc>
          <w:tcPr>
            <w:tcW w:w="4155" w:type="dxa"/>
            <w:tcBorders>
              <w:top w:val="single" w:sz="4" w:space="0" w:color="auto"/>
              <w:left w:val="single" w:sz="4" w:space="0" w:color="auto"/>
              <w:right w:val="single" w:sz="4" w:space="0" w:color="auto"/>
            </w:tcBorders>
            <w:vAlign w:val="center"/>
          </w:tcPr>
          <w:p w14:paraId="29FBDA38" w14:textId="77777777" w:rsidR="00432306" w:rsidRPr="00315BC9" w:rsidRDefault="00432306" w:rsidP="007A5DA7">
            <w:pPr>
              <w:pStyle w:val="TAL"/>
              <w:rPr>
                <w:rFonts w:cs="Arial"/>
              </w:rPr>
            </w:pPr>
            <w:r w:rsidRPr="00315BC9">
              <w:rPr>
                <w:rFonts w:cs="Arial"/>
              </w:rPr>
              <w:t>Image frequencies when carrier center frequency ≥ 1 GHz</w:t>
            </w:r>
          </w:p>
        </w:tc>
        <w:tc>
          <w:tcPr>
            <w:tcW w:w="1682" w:type="dxa"/>
            <w:vMerge/>
            <w:tcBorders>
              <w:left w:val="single" w:sz="4" w:space="0" w:color="auto"/>
              <w:right w:val="single" w:sz="4" w:space="0" w:color="auto"/>
            </w:tcBorders>
            <w:vAlign w:val="center"/>
          </w:tcPr>
          <w:p w14:paraId="3DEF6B03" w14:textId="77777777" w:rsidR="00432306" w:rsidRPr="00315BC9" w:rsidRDefault="00432306" w:rsidP="007A5DA7">
            <w:pPr>
              <w:pStyle w:val="TAC"/>
              <w:rPr>
                <w:rFonts w:cs="Arial"/>
              </w:rPr>
            </w:pPr>
          </w:p>
        </w:tc>
      </w:tr>
      <w:tr w:rsidR="00432306" w:rsidRPr="0032110F" w14:paraId="35794691" w14:textId="77777777" w:rsidTr="007A5DA7">
        <w:trPr>
          <w:trHeight w:val="208"/>
          <w:jc w:val="center"/>
        </w:trPr>
        <w:tc>
          <w:tcPr>
            <w:tcW w:w="1205" w:type="dxa"/>
            <w:vMerge w:val="restart"/>
            <w:tcBorders>
              <w:top w:val="single" w:sz="4" w:space="0" w:color="auto"/>
              <w:right w:val="single" w:sz="4" w:space="0" w:color="auto"/>
            </w:tcBorders>
            <w:shd w:val="clear" w:color="auto" w:fill="auto"/>
            <w:vAlign w:val="center"/>
          </w:tcPr>
          <w:p w14:paraId="21BCCA53" w14:textId="77777777" w:rsidR="00432306" w:rsidRPr="00315BC9" w:rsidRDefault="00432306" w:rsidP="007A5DA7">
            <w:pPr>
              <w:pStyle w:val="TAH"/>
              <w:rPr>
                <w:rFonts w:cs="Arial"/>
              </w:rPr>
            </w:pPr>
            <w:r w:rsidRPr="00315BC9">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62AA8687" w14:textId="77777777" w:rsidR="00432306" w:rsidRPr="00315BC9" w:rsidRDefault="00432306" w:rsidP="007A5DA7">
            <w:pPr>
              <w:pStyle w:val="TAC"/>
              <w:rPr>
                <w:rFonts w:cs="Arial"/>
              </w:rPr>
            </w:pPr>
            <w:r w:rsidRPr="00315BC9">
              <w:rPr>
                <w:rFonts w:cs="Arial"/>
              </w:rPr>
              <w:t>dBc</w:t>
            </w:r>
          </w:p>
        </w:tc>
        <w:tc>
          <w:tcPr>
            <w:tcW w:w="1265" w:type="dxa"/>
            <w:tcBorders>
              <w:top w:val="single" w:sz="4" w:space="0" w:color="auto"/>
              <w:left w:val="single" w:sz="4" w:space="0" w:color="auto"/>
              <w:right w:val="single" w:sz="4" w:space="0" w:color="auto"/>
            </w:tcBorders>
            <w:vAlign w:val="center"/>
          </w:tcPr>
          <w:p w14:paraId="42F7C19C" w14:textId="77777777" w:rsidR="00432306" w:rsidRPr="00315BC9" w:rsidRDefault="00432306" w:rsidP="007A5DA7">
            <w:pPr>
              <w:pStyle w:val="TAC"/>
              <w:rPr>
                <w:rFonts w:cs="Arial"/>
              </w:rPr>
            </w:pPr>
            <w:r w:rsidRPr="00315BC9">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5CB4BF9" w14:textId="77777777" w:rsidR="00432306" w:rsidRPr="00315BC9" w:rsidRDefault="00432306" w:rsidP="007A5DA7">
            <w:pPr>
              <w:pStyle w:val="TAL"/>
              <w:rPr>
                <w:rFonts w:cs="Arial"/>
              </w:rPr>
            </w:pPr>
            <w:r w:rsidRPr="00315BC9">
              <w:rPr>
                <w:rFonts w:cs="Arial"/>
              </w:rPr>
              <w:t>Output power &gt; 10 dBm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532E622D" w14:textId="77777777" w:rsidR="00432306" w:rsidRPr="00315BC9" w:rsidRDefault="00432306" w:rsidP="007A5DA7">
            <w:pPr>
              <w:pStyle w:val="TAC"/>
              <w:rPr>
                <w:rFonts w:cs="Arial"/>
              </w:rPr>
            </w:pPr>
            <w:r w:rsidRPr="00315BC9">
              <w:rPr>
                <w:rFonts w:cs="Arial"/>
              </w:rPr>
              <w:t>Carrier frequency (NOTES 4, 5)</w:t>
            </w:r>
          </w:p>
        </w:tc>
      </w:tr>
      <w:tr w:rsidR="00432306" w:rsidRPr="0032110F" w14:paraId="766C1918" w14:textId="77777777" w:rsidTr="007A5DA7">
        <w:trPr>
          <w:trHeight w:val="208"/>
          <w:jc w:val="center"/>
        </w:trPr>
        <w:tc>
          <w:tcPr>
            <w:tcW w:w="1205" w:type="dxa"/>
            <w:vMerge/>
            <w:tcBorders>
              <w:top w:val="single" w:sz="4" w:space="0" w:color="auto"/>
              <w:right w:val="single" w:sz="4" w:space="0" w:color="auto"/>
            </w:tcBorders>
            <w:shd w:val="clear" w:color="auto" w:fill="auto"/>
            <w:vAlign w:val="center"/>
          </w:tcPr>
          <w:p w14:paraId="089509F0" w14:textId="77777777" w:rsidR="00432306" w:rsidRPr="00315BC9" w:rsidRDefault="00432306" w:rsidP="007A5DA7">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58AAE6D2"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2F65EDB1" w14:textId="77777777" w:rsidR="00432306" w:rsidRPr="00315BC9" w:rsidRDefault="00432306" w:rsidP="007A5DA7">
            <w:pPr>
              <w:pStyle w:val="TAC"/>
              <w:rPr>
                <w:rFonts w:cs="Arial"/>
              </w:rPr>
            </w:pPr>
            <w:r w:rsidRPr="00315BC9">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745C6C40" w14:textId="77777777" w:rsidR="00432306" w:rsidRPr="00315BC9" w:rsidRDefault="00432306" w:rsidP="007A5DA7">
            <w:pPr>
              <w:pStyle w:val="TAL"/>
              <w:rPr>
                <w:rFonts w:cs="Arial"/>
              </w:rPr>
            </w:pPr>
            <w:r w:rsidRPr="00315BC9">
              <w:rPr>
                <w:rFonts w:cs="Arial"/>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18B1C1FF" w14:textId="77777777" w:rsidR="00432306" w:rsidRPr="0032110F" w:rsidRDefault="00432306" w:rsidP="007A5DA7">
            <w:pPr>
              <w:spacing w:after="0"/>
            </w:pPr>
          </w:p>
        </w:tc>
      </w:tr>
      <w:tr w:rsidR="00432306" w:rsidRPr="0032110F" w14:paraId="40EE1DE3" w14:textId="77777777" w:rsidTr="007A5DA7">
        <w:trPr>
          <w:trHeight w:val="208"/>
          <w:jc w:val="center"/>
        </w:trPr>
        <w:tc>
          <w:tcPr>
            <w:tcW w:w="1205" w:type="dxa"/>
            <w:vMerge/>
            <w:tcBorders>
              <w:top w:val="single" w:sz="4" w:space="0" w:color="auto"/>
              <w:right w:val="single" w:sz="4" w:space="0" w:color="auto"/>
            </w:tcBorders>
            <w:shd w:val="clear" w:color="auto" w:fill="auto"/>
            <w:vAlign w:val="center"/>
          </w:tcPr>
          <w:p w14:paraId="2C0B962C" w14:textId="77777777" w:rsidR="00432306" w:rsidRPr="00315BC9" w:rsidRDefault="00432306" w:rsidP="007A5DA7">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538CD18D"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5C4FF792" w14:textId="77777777" w:rsidR="00432306" w:rsidRPr="00315BC9" w:rsidRDefault="00432306" w:rsidP="007A5DA7">
            <w:pPr>
              <w:pStyle w:val="TAC"/>
              <w:rPr>
                <w:rFonts w:cs="Arial"/>
              </w:rPr>
            </w:pPr>
            <w:r w:rsidRPr="00315BC9">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02D984B8" w14:textId="77777777" w:rsidR="00432306" w:rsidRPr="00315BC9" w:rsidRDefault="00432306" w:rsidP="007A5DA7">
            <w:pPr>
              <w:pStyle w:val="TAL"/>
              <w:rPr>
                <w:rFonts w:cs="Arial"/>
              </w:rPr>
            </w:pPr>
            <w:r w:rsidRPr="00315BC9">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14:paraId="6DC530CD" w14:textId="77777777" w:rsidR="00432306" w:rsidRPr="0032110F" w:rsidRDefault="00432306" w:rsidP="007A5DA7">
            <w:pPr>
              <w:spacing w:after="0"/>
            </w:pPr>
          </w:p>
        </w:tc>
      </w:tr>
      <w:tr w:rsidR="00432306" w:rsidRPr="0032110F" w14:paraId="18F8B72E" w14:textId="77777777" w:rsidTr="007A5DA7">
        <w:trPr>
          <w:trHeight w:val="206"/>
          <w:jc w:val="center"/>
        </w:trPr>
        <w:tc>
          <w:tcPr>
            <w:tcW w:w="1205" w:type="dxa"/>
            <w:vMerge/>
            <w:tcBorders>
              <w:right w:val="single" w:sz="4" w:space="0" w:color="auto"/>
            </w:tcBorders>
            <w:shd w:val="clear" w:color="auto" w:fill="auto"/>
            <w:vAlign w:val="center"/>
          </w:tcPr>
          <w:p w14:paraId="09FD7026" w14:textId="77777777" w:rsidR="00432306" w:rsidRPr="0032110F" w:rsidRDefault="00432306" w:rsidP="007A5DA7">
            <w:pPr>
              <w:spacing w:after="0"/>
              <w:rPr>
                <w:b/>
              </w:rPr>
            </w:pPr>
          </w:p>
        </w:tc>
        <w:tc>
          <w:tcPr>
            <w:tcW w:w="1293" w:type="dxa"/>
            <w:vMerge/>
            <w:tcBorders>
              <w:left w:val="single" w:sz="4" w:space="0" w:color="auto"/>
              <w:right w:val="single" w:sz="4" w:space="0" w:color="auto"/>
            </w:tcBorders>
            <w:vAlign w:val="center"/>
          </w:tcPr>
          <w:p w14:paraId="5AC41DBF"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30B60E37" w14:textId="77777777" w:rsidR="00432306" w:rsidRPr="00315BC9" w:rsidRDefault="00432306" w:rsidP="007A5DA7">
            <w:pPr>
              <w:pStyle w:val="TAC"/>
              <w:rPr>
                <w:rFonts w:cs="Arial"/>
              </w:rPr>
            </w:pPr>
            <w:r w:rsidRPr="00315BC9">
              <w:rPr>
                <w:rFonts w:cs="Arial"/>
              </w:rPr>
              <w:t>-20</w:t>
            </w:r>
          </w:p>
        </w:tc>
        <w:tc>
          <w:tcPr>
            <w:tcW w:w="4155" w:type="dxa"/>
            <w:tcBorders>
              <w:left w:val="single" w:sz="4" w:space="0" w:color="auto"/>
              <w:right w:val="single" w:sz="4" w:space="0" w:color="auto"/>
            </w:tcBorders>
            <w:shd w:val="clear" w:color="auto" w:fill="auto"/>
            <w:vAlign w:val="center"/>
          </w:tcPr>
          <w:p w14:paraId="534C280D" w14:textId="77777777" w:rsidR="00432306" w:rsidRPr="00315BC9" w:rsidRDefault="00432306" w:rsidP="007A5DA7">
            <w:pPr>
              <w:pStyle w:val="TAL"/>
              <w:rPr>
                <w:rFonts w:cs="Arial"/>
              </w:rPr>
            </w:pPr>
            <w:r w:rsidRPr="00315BC9">
              <w:rPr>
                <w:rFonts w:cs="Arial"/>
              </w:rPr>
              <w:t>-30 dBm ≤ Output power ≤ 0 dBm</w:t>
            </w:r>
          </w:p>
        </w:tc>
        <w:tc>
          <w:tcPr>
            <w:tcW w:w="1682" w:type="dxa"/>
            <w:vMerge/>
            <w:tcBorders>
              <w:left w:val="single" w:sz="4" w:space="0" w:color="auto"/>
              <w:right w:val="single" w:sz="4" w:space="0" w:color="auto"/>
            </w:tcBorders>
            <w:vAlign w:val="center"/>
          </w:tcPr>
          <w:p w14:paraId="2BA94CEC" w14:textId="77777777" w:rsidR="00432306" w:rsidRPr="0032110F" w:rsidRDefault="00432306" w:rsidP="007A5DA7">
            <w:pPr>
              <w:spacing w:after="0"/>
            </w:pPr>
          </w:p>
        </w:tc>
      </w:tr>
      <w:tr w:rsidR="00432306" w:rsidRPr="0032110F" w14:paraId="1FADA710" w14:textId="77777777" w:rsidTr="007A5DA7">
        <w:trPr>
          <w:trHeight w:val="206"/>
          <w:jc w:val="center"/>
        </w:trPr>
        <w:tc>
          <w:tcPr>
            <w:tcW w:w="1205" w:type="dxa"/>
            <w:vMerge/>
            <w:tcBorders>
              <w:right w:val="single" w:sz="4" w:space="0" w:color="auto"/>
            </w:tcBorders>
            <w:shd w:val="clear" w:color="auto" w:fill="auto"/>
            <w:vAlign w:val="center"/>
          </w:tcPr>
          <w:p w14:paraId="18981117" w14:textId="77777777" w:rsidR="00432306" w:rsidRPr="0032110F" w:rsidRDefault="00432306" w:rsidP="007A5DA7">
            <w:pPr>
              <w:spacing w:after="0"/>
              <w:rPr>
                <w:b/>
              </w:rPr>
            </w:pPr>
          </w:p>
        </w:tc>
        <w:tc>
          <w:tcPr>
            <w:tcW w:w="1293" w:type="dxa"/>
            <w:vMerge/>
            <w:tcBorders>
              <w:left w:val="single" w:sz="4" w:space="0" w:color="auto"/>
              <w:right w:val="single" w:sz="4" w:space="0" w:color="auto"/>
            </w:tcBorders>
            <w:vAlign w:val="center"/>
          </w:tcPr>
          <w:p w14:paraId="1CD46DBC" w14:textId="77777777" w:rsidR="00432306" w:rsidRPr="00315BC9" w:rsidRDefault="00432306" w:rsidP="007A5DA7">
            <w:pPr>
              <w:pStyle w:val="TAC"/>
              <w:rPr>
                <w:rFonts w:cs="Arial"/>
              </w:rPr>
            </w:pPr>
          </w:p>
        </w:tc>
        <w:tc>
          <w:tcPr>
            <w:tcW w:w="1265" w:type="dxa"/>
            <w:tcBorders>
              <w:top w:val="single" w:sz="4" w:space="0" w:color="auto"/>
              <w:left w:val="single" w:sz="4" w:space="0" w:color="auto"/>
              <w:right w:val="single" w:sz="4" w:space="0" w:color="auto"/>
            </w:tcBorders>
            <w:vAlign w:val="center"/>
          </w:tcPr>
          <w:p w14:paraId="1C8278A0" w14:textId="77777777" w:rsidR="00432306" w:rsidRPr="00315BC9" w:rsidRDefault="00432306" w:rsidP="007A5DA7">
            <w:pPr>
              <w:pStyle w:val="TAC"/>
              <w:rPr>
                <w:rFonts w:cs="Arial"/>
              </w:rPr>
            </w:pPr>
            <w:r w:rsidRPr="00315BC9">
              <w:rPr>
                <w:rFonts w:cs="Arial"/>
              </w:rPr>
              <w:t>-10</w:t>
            </w:r>
          </w:p>
        </w:tc>
        <w:tc>
          <w:tcPr>
            <w:tcW w:w="4155" w:type="dxa"/>
            <w:tcBorders>
              <w:left w:val="single" w:sz="4" w:space="0" w:color="auto"/>
              <w:right w:val="single" w:sz="4" w:space="0" w:color="auto"/>
            </w:tcBorders>
            <w:shd w:val="clear" w:color="auto" w:fill="auto"/>
            <w:vAlign w:val="center"/>
          </w:tcPr>
          <w:p w14:paraId="545A55DC" w14:textId="77777777" w:rsidR="00432306" w:rsidRPr="00315BC9" w:rsidRDefault="00432306" w:rsidP="007A5DA7">
            <w:pPr>
              <w:pStyle w:val="TAL"/>
              <w:rPr>
                <w:rFonts w:cs="Arial"/>
              </w:rPr>
            </w:pPr>
            <w:r w:rsidRPr="00315BC9">
              <w:rPr>
                <w:rFonts w:cs="Arial"/>
              </w:rPr>
              <w:t xml:space="preserve">-40 dBm </w:t>
            </w:r>
            <w:r w:rsidRPr="00315BC9">
              <w:rPr>
                <w:rFonts w:cs="Arial"/>
              </w:rPr>
              <w:sym w:font="Symbol" w:char="F0A3"/>
            </w:r>
            <w:r w:rsidRPr="00315BC9">
              <w:rPr>
                <w:rFonts w:cs="Arial"/>
              </w:rPr>
              <w:t xml:space="preserve"> Output power &lt; -30 dBm</w:t>
            </w:r>
          </w:p>
        </w:tc>
        <w:tc>
          <w:tcPr>
            <w:tcW w:w="1682" w:type="dxa"/>
            <w:vMerge/>
            <w:tcBorders>
              <w:left w:val="single" w:sz="4" w:space="0" w:color="auto"/>
              <w:right w:val="single" w:sz="4" w:space="0" w:color="auto"/>
            </w:tcBorders>
            <w:vAlign w:val="center"/>
          </w:tcPr>
          <w:p w14:paraId="289CBA8E" w14:textId="77777777" w:rsidR="00432306" w:rsidRPr="0032110F" w:rsidRDefault="00432306" w:rsidP="007A5DA7">
            <w:pPr>
              <w:spacing w:after="0"/>
            </w:pPr>
          </w:p>
        </w:tc>
      </w:tr>
      <w:tr w:rsidR="00432306" w:rsidRPr="0032110F" w14:paraId="3A11A2AA" w14:textId="77777777" w:rsidTr="007A5DA7">
        <w:trPr>
          <w:trHeight w:val="424"/>
          <w:jc w:val="center"/>
        </w:trPr>
        <w:tc>
          <w:tcPr>
            <w:tcW w:w="9600" w:type="dxa"/>
            <w:gridSpan w:val="5"/>
            <w:tcBorders>
              <w:right w:val="single" w:sz="4" w:space="0" w:color="auto"/>
            </w:tcBorders>
            <w:shd w:val="clear" w:color="auto" w:fill="auto"/>
            <w:vAlign w:val="center"/>
          </w:tcPr>
          <w:p w14:paraId="63EEE39B" w14:textId="77777777" w:rsidR="00432306" w:rsidRPr="00315BC9" w:rsidRDefault="00432306" w:rsidP="007A5DA7">
            <w:pPr>
              <w:pStyle w:val="TAN"/>
              <w:rPr>
                <w:rFonts w:cs="Arial"/>
              </w:rPr>
            </w:pPr>
            <w:r w:rsidRPr="00315BC9">
              <w:rPr>
                <w:rFonts w:cs="Arial"/>
              </w:rPr>
              <w:lastRenderedPageBreak/>
              <w:t>NOTE 1:</w:t>
            </w:r>
            <w:r w:rsidRPr="00315BC9">
              <w:rPr>
                <w:rFonts w:cs="Arial"/>
              </w:rPr>
              <w:tab/>
              <w:t xml:space="preserve">An in-band emissions combined limit is evaluated in each non-allocated RB. For each such RB, the minimum requirement is calculated as the higher of </w:t>
            </w:r>
            <w:r w:rsidRPr="003E130B">
              <w:rPr>
                <w:rFonts w:cs="Arial"/>
                <w:i/>
              </w:rPr>
              <w:t>P</w:t>
            </w:r>
            <w:r w:rsidRPr="003E130B">
              <w:rPr>
                <w:rFonts w:cs="Arial"/>
                <w:i/>
                <w:vertAlign w:val="subscript"/>
              </w:rPr>
              <w:t>RB</w:t>
            </w:r>
            <w:r w:rsidRPr="00315BC9">
              <w:rPr>
                <w:rFonts w:cs="Arial"/>
                <w:i/>
                <w:vertAlign w:val="subscript"/>
              </w:rPr>
              <w:t xml:space="preserve"> </w:t>
            </w:r>
            <w:r w:rsidRPr="00315BC9">
              <w:rPr>
                <w:rFonts w:cs="Arial"/>
              </w:rPr>
              <w:t xml:space="preserve">- 30 dB and the power sum of all limit values (General, IQ Image or Carrier leakage) that apply. </w:t>
            </w:r>
            <w:r w:rsidRPr="00315BC9">
              <w:rPr>
                <w:rFonts w:cs="Arial"/>
                <w:i/>
              </w:rPr>
              <w:t>P</w:t>
            </w:r>
            <w:r w:rsidRPr="00315BC9">
              <w:rPr>
                <w:rFonts w:cs="Arial"/>
                <w:i/>
                <w:vertAlign w:val="subscript"/>
              </w:rPr>
              <w:t>RB</w:t>
            </w:r>
            <w:r w:rsidRPr="00315BC9">
              <w:rPr>
                <w:rFonts w:cs="Arial"/>
                <w:i/>
              </w:rPr>
              <w:t xml:space="preserve"> </w:t>
            </w:r>
            <w:r w:rsidRPr="00315BC9">
              <w:rPr>
                <w:rFonts w:cs="Arial"/>
              </w:rPr>
              <w:t>is defined in NOTE 10.</w:t>
            </w:r>
          </w:p>
          <w:p w14:paraId="5E9EA67F" w14:textId="77777777" w:rsidR="00432306" w:rsidRPr="00315BC9" w:rsidRDefault="00432306" w:rsidP="007A5DA7">
            <w:pPr>
              <w:pStyle w:val="TAN"/>
              <w:rPr>
                <w:rFonts w:cs="Arial"/>
              </w:rPr>
            </w:pPr>
            <w:r w:rsidRPr="00315BC9">
              <w:rPr>
                <w:rFonts w:cs="Arial"/>
              </w:rPr>
              <w:t>NOTE 2:</w:t>
            </w:r>
            <w:r w:rsidRPr="00315BC9">
              <w:rPr>
                <w:rFonts w:cs="Arial"/>
              </w:rPr>
              <w:tab/>
              <w:t>The measurement bandwidth is 1 RB and the limit is expressed as a ratio of measured power in one non-allocated RB to the measured average power per allocated RB, where the averaging is done across all allocated RBs.</w:t>
            </w:r>
          </w:p>
          <w:p w14:paraId="07663347" w14:textId="77777777" w:rsidR="00432306" w:rsidRPr="00315BC9" w:rsidRDefault="00432306" w:rsidP="007A5DA7">
            <w:pPr>
              <w:pStyle w:val="TAN"/>
              <w:rPr>
                <w:rFonts w:cs="Arial"/>
              </w:rPr>
            </w:pPr>
            <w:r w:rsidRPr="00315BC9">
              <w:rPr>
                <w:rFonts w:cs="Arial"/>
              </w:rPr>
              <w:t>NOTE 3:</w:t>
            </w:r>
            <w:r w:rsidRPr="00315BC9">
              <w:rPr>
                <w:rFonts w:cs="Arial"/>
              </w:rPr>
              <w:tab/>
              <w:t>The applicable frequencies for this limit are those that are enclosed in the reflection of the allocated bandwidth, based on symmetry with respect to the centre carrier frequency, but excluding any allocated RBs.</w:t>
            </w:r>
          </w:p>
          <w:p w14:paraId="76C9D5CC" w14:textId="77777777" w:rsidR="00432306" w:rsidRPr="00315BC9" w:rsidRDefault="00432306" w:rsidP="007A5DA7">
            <w:pPr>
              <w:pStyle w:val="TAN"/>
              <w:rPr>
                <w:rFonts w:cs="Arial"/>
              </w:rPr>
            </w:pPr>
            <w:r w:rsidRPr="00315BC9">
              <w:rPr>
                <w:rFonts w:cs="Arial"/>
              </w:rPr>
              <w:t>NOTE 4:</w:t>
            </w:r>
            <w:r w:rsidRPr="00315BC9">
              <w:rPr>
                <w:rFonts w:cs="Arial"/>
              </w:rPr>
              <w:tab/>
              <w:t>The measurement bandwidth is 1 RB and the limit is expressed as a ratio of measured power in one non-allocated RB to the measured total power in all allocated RBs.</w:t>
            </w:r>
          </w:p>
          <w:p w14:paraId="381BFD5A" w14:textId="77777777" w:rsidR="00432306" w:rsidRPr="00315BC9" w:rsidRDefault="00432306" w:rsidP="007A5DA7">
            <w:pPr>
              <w:pStyle w:val="TAN"/>
              <w:rPr>
                <w:rFonts w:cs="Arial"/>
              </w:rPr>
            </w:pPr>
            <w:r w:rsidRPr="00315BC9">
              <w:rPr>
                <w:rFonts w:cs="Arial"/>
              </w:rPr>
              <w:t>NOTE 5:</w:t>
            </w:r>
            <w:r w:rsidRPr="00315BC9">
              <w:rPr>
                <w:rFonts w:cs="Arial"/>
              </w:rPr>
              <w:tab/>
              <w:t xml:space="preserve">The applicable frequencies for this limit are those that are enclosed in the RBs containing the DC frequency if </w:t>
            </w:r>
            <w:r w:rsidRPr="00315BC9">
              <w:rPr>
                <w:rFonts w:cs="Arial"/>
                <w:position w:val="-10"/>
              </w:rPr>
              <w:object w:dxaOrig="440" w:dyaOrig="340" w14:anchorId="750403C1">
                <v:shape id="_x0000_i1026" type="#_x0000_t75" style="width:22.2pt;height:16.8pt" o:ole="">
                  <v:imagedata r:id="rId13" o:title=""/>
                </v:shape>
                <o:OLEObject Type="Embed" ProgID="Equation.3" ShapeID="_x0000_i1026" DrawAspect="Content" ObjectID="_1539947143" r:id="rId14"/>
              </w:object>
            </w:r>
            <w:r w:rsidRPr="00315BC9">
              <w:rPr>
                <w:rFonts w:cs="Arial"/>
              </w:rPr>
              <w:t xml:space="preserve"> is odd, or in the two RBs immediately adjacent to the DC frequency if </w:t>
            </w:r>
            <w:r w:rsidRPr="00315BC9">
              <w:rPr>
                <w:rFonts w:cs="Arial"/>
                <w:position w:val="-10"/>
              </w:rPr>
              <w:object w:dxaOrig="440" w:dyaOrig="340" w14:anchorId="36110112">
                <v:shape id="_x0000_i1027" type="#_x0000_t75" style="width:22.2pt;height:16.8pt" o:ole="">
                  <v:imagedata r:id="rId15" o:title=""/>
                </v:shape>
                <o:OLEObject Type="Embed" ProgID="Equation.3" ShapeID="_x0000_i1027" DrawAspect="Content" ObjectID="_1539947144" r:id="rId16"/>
              </w:object>
            </w:r>
            <w:r w:rsidRPr="00315BC9">
              <w:rPr>
                <w:rFonts w:cs="Arial"/>
              </w:rPr>
              <w:t xml:space="preserve"> is even, but excluding any allocated RB. For UE of UL Category M1, the applicable frequencies shall also be the centre frequency of the supported 6RBs additionally.</w:t>
            </w:r>
          </w:p>
          <w:p w14:paraId="24D3447B" w14:textId="77777777" w:rsidR="00432306" w:rsidRPr="00315BC9" w:rsidRDefault="00432306" w:rsidP="007A5DA7">
            <w:pPr>
              <w:pStyle w:val="TAN"/>
              <w:rPr>
                <w:rFonts w:cs="Arial"/>
              </w:rPr>
            </w:pPr>
            <w:r w:rsidRPr="00315BC9">
              <w:rPr>
                <w:rFonts w:cs="Arial"/>
              </w:rPr>
              <w:t>NOTE 6:</w:t>
            </w:r>
            <w:r w:rsidRPr="00315BC9">
              <w:rPr>
                <w:rFonts w:cs="Arial"/>
              </w:rPr>
              <w:tab/>
            </w:r>
            <w:r w:rsidRPr="00166647">
              <w:rPr>
                <w:rFonts w:cs="Arial"/>
                <w:position w:val="-12"/>
              </w:rPr>
              <w:object w:dxaOrig="480" w:dyaOrig="360" w14:anchorId="4562D00D">
                <v:shape id="_x0000_i1028" type="#_x0000_t75" style="width:24.6pt;height:18pt" o:ole="">
                  <v:imagedata r:id="rId17" o:title=""/>
                </v:shape>
                <o:OLEObject Type="Embed" ProgID="Equation.3" ShapeID="_x0000_i1028" DrawAspect="Content" ObjectID="_1539947145" r:id="rId18"/>
              </w:object>
            </w:r>
            <w:r w:rsidRPr="00315BC9">
              <w:rPr>
                <w:rFonts w:cs="Arial"/>
              </w:rPr>
              <w:t xml:space="preserve"> is the Transmission Bandwidth (see Figure 5.6-1). </w:t>
            </w:r>
          </w:p>
          <w:p w14:paraId="57F6F3E8" w14:textId="77777777" w:rsidR="00432306" w:rsidRPr="00315BC9" w:rsidRDefault="00432306" w:rsidP="007A5DA7">
            <w:pPr>
              <w:pStyle w:val="TAN"/>
              <w:rPr>
                <w:rFonts w:cs="Arial"/>
              </w:rPr>
            </w:pPr>
            <w:r w:rsidRPr="00315BC9">
              <w:rPr>
                <w:rFonts w:cs="Arial"/>
              </w:rPr>
              <w:t>NOTE 7:</w:t>
            </w:r>
            <w:r w:rsidRPr="00315BC9">
              <w:rPr>
                <w:rFonts w:cs="Arial"/>
              </w:rPr>
              <w:tab/>
            </w:r>
            <w:r w:rsidRPr="00166647">
              <w:rPr>
                <w:rFonts w:cs="Arial"/>
                <w:position w:val="-10"/>
              </w:rPr>
              <w:object w:dxaOrig="440" w:dyaOrig="340" w14:anchorId="7AD46B9E">
                <v:shape id="_x0000_i1029" type="#_x0000_t75" style="width:22.2pt;height:16.8pt" o:ole="">
                  <v:imagedata r:id="rId19" o:title=""/>
                </v:shape>
                <o:OLEObject Type="Embed" ProgID="Equation.3" ShapeID="_x0000_i1029" DrawAspect="Content" ObjectID="_1539947146" r:id="rId20"/>
              </w:object>
            </w:r>
            <w:r w:rsidRPr="00315BC9">
              <w:rPr>
                <w:rFonts w:cs="Arial"/>
              </w:rPr>
              <w:t xml:space="preserve"> is the Transmission Bandwidth Configuration (see Figure 5.6-1). </w:t>
            </w:r>
          </w:p>
          <w:p w14:paraId="37F7E13A" w14:textId="77777777" w:rsidR="00432306" w:rsidRPr="00315BC9" w:rsidRDefault="00432306" w:rsidP="007A5DA7">
            <w:pPr>
              <w:pStyle w:val="TAN"/>
              <w:rPr>
                <w:rFonts w:cs="Arial"/>
              </w:rPr>
            </w:pPr>
            <w:r w:rsidRPr="00315BC9">
              <w:rPr>
                <w:rFonts w:cs="Arial"/>
              </w:rPr>
              <w:t>NOTE 8:</w:t>
            </w:r>
            <w:r w:rsidRPr="00315BC9">
              <w:rPr>
                <w:rFonts w:cs="Arial"/>
              </w:rPr>
              <w:tab/>
            </w:r>
            <w:r w:rsidRPr="00166647">
              <w:rPr>
                <w:rFonts w:cs="Arial"/>
                <w:position w:val="-6"/>
                <w:highlight w:val="yellow"/>
              </w:rPr>
              <w:object w:dxaOrig="620" w:dyaOrig="279" w14:anchorId="423197FD">
                <v:shape id="_x0000_i1030" type="#_x0000_t75" style="width:31.2pt;height:13.8pt" o:ole="">
                  <v:imagedata r:id="rId21" o:title=""/>
                </v:shape>
                <o:OLEObject Type="Embed" ProgID="Equation.3" ShapeID="_x0000_i1030" DrawAspect="Content" ObjectID="_1539947147" r:id="rId22"/>
              </w:object>
            </w:r>
            <w:r w:rsidRPr="00315BC9">
              <w:rPr>
                <w:rFonts w:cs="Arial"/>
              </w:rPr>
              <w:t xml:space="preserve"> is the limit specified in Table 6.5.2.1.1-1 for the modulation format used in the allocated RBs. </w:t>
            </w:r>
          </w:p>
          <w:p w14:paraId="3B882EA9" w14:textId="77777777" w:rsidR="00432306" w:rsidRPr="00315BC9" w:rsidRDefault="00432306" w:rsidP="007A5DA7">
            <w:pPr>
              <w:pStyle w:val="TAN"/>
              <w:rPr>
                <w:rFonts w:cs="Arial"/>
              </w:rPr>
            </w:pPr>
            <w:r w:rsidRPr="00315BC9">
              <w:rPr>
                <w:rFonts w:cs="Arial"/>
              </w:rPr>
              <w:t>NOTE 9:</w:t>
            </w:r>
            <w:r w:rsidRPr="00315BC9">
              <w:rPr>
                <w:rFonts w:cs="Arial"/>
              </w:rPr>
              <w:tab/>
            </w:r>
            <w:r w:rsidRPr="00166647">
              <w:rPr>
                <w:rFonts w:cs="Arial"/>
                <w:position w:val="-10"/>
                <w:highlight w:val="yellow"/>
              </w:rPr>
              <w:object w:dxaOrig="400" w:dyaOrig="300" w14:anchorId="03A0AE0A">
                <v:shape id="_x0000_i1031" type="#_x0000_t75" style="width:19.8pt;height:15pt" o:ole="">
                  <v:imagedata r:id="rId23" o:title=""/>
                </v:shape>
                <o:OLEObject Type="Embed" ProgID="Equation.3" ShapeID="_x0000_i1031" DrawAspect="Content" ObjectID="_1539947148" r:id="rId24"/>
              </w:object>
            </w:r>
            <w:r w:rsidRPr="00315BC9">
              <w:rPr>
                <w:rFonts w:cs="Arial"/>
              </w:rPr>
              <w:t xml:space="preserve"> is the starting frequency offset between the allocated RB and the measured non-allocated RB (e.g. </w:t>
            </w:r>
            <w:r w:rsidRPr="00166647">
              <w:rPr>
                <w:rFonts w:cs="Arial"/>
                <w:position w:val="-10"/>
              </w:rPr>
              <w:object w:dxaOrig="760" w:dyaOrig="340" w14:anchorId="4641630A">
                <v:shape id="_x0000_i1032" type="#_x0000_t75" style="width:37.8pt;height:16.8pt" o:ole="">
                  <v:imagedata r:id="rId25" o:title=""/>
                </v:shape>
                <o:OLEObject Type="Embed" ProgID="Equation.3" ShapeID="_x0000_i1032" DrawAspect="Content" ObjectID="_1539947149" r:id="rId26"/>
              </w:object>
            </w:r>
            <w:r w:rsidRPr="00315BC9">
              <w:rPr>
                <w:rFonts w:cs="Arial"/>
              </w:rPr>
              <w:t xml:space="preserve"> or </w:t>
            </w:r>
            <w:r w:rsidRPr="00315BC9">
              <w:rPr>
                <w:rFonts w:cs="Arial"/>
                <w:position w:val="-10"/>
              </w:rPr>
              <w:object w:dxaOrig="920" w:dyaOrig="340" w14:anchorId="55815351">
                <v:shape id="_x0000_i1033" type="#_x0000_t75" style="width:46.2pt;height:16.8pt" o:ole="">
                  <v:imagedata r:id="rId27" o:title=""/>
                </v:shape>
                <o:OLEObject Type="Embed" ProgID="Equation.3" ShapeID="_x0000_i1033" DrawAspect="Content" ObjectID="_1539947150" r:id="rId28"/>
              </w:object>
            </w:r>
            <w:r w:rsidRPr="00315BC9">
              <w:rPr>
                <w:rFonts w:cs="Arial"/>
              </w:rPr>
              <w:t xml:space="preserve"> for the first adjacent RB outside of the allocated bandwidth. </w:t>
            </w:r>
          </w:p>
          <w:p w14:paraId="7272D2E5" w14:textId="77777777" w:rsidR="00432306" w:rsidRPr="00315BC9" w:rsidRDefault="00432306" w:rsidP="007A5DA7">
            <w:pPr>
              <w:pStyle w:val="TAN"/>
              <w:rPr>
                <w:rFonts w:cs="Arial"/>
              </w:rPr>
            </w:pPr>
            <w:r w:rsidRPr="00315BC9">
              <w:rPr>
                <w:rFonts w:cs="Arial"/>
              </w:rPr>
              <w:t>NOTE 10:</w:t>
            </w:r>
            <w:r w:rsidRPr="00315BC9">
              <w:rPr>
                <w:rFonts w:cs="Arial"/>
              </w:rPr>
              <w:tab/>
            </w:r>
            <w:r w:rsidRPr="00166647">
              <w:rPr>
                <w:rFonts w:cs="Arial"/>
                <w:position w:val="-10"/>
                <w:highlight w:val="yellow"/>
              </w:rPr>
              <w:object w:dxaOrig="380" w:dyaOrig="340" w14:anchorId="5D663EB7">
                <v:shape id="_x0000_i1034" type="#_x0000_t75" style="width:19.2pt;height:16.8pt" o:ole="">
                  <v:imagedata r:id="rId29" o:title=""/>
                </v:shape>
                <o:OLEObject Type="Embed" ProgID="Equation.3" ShapeID="_x0000_i1034" DrawAspect="Content" ObjectID="_1539947151" r:id="rId30"/>
              </w:object>
            </w:r>
            <w:r w:rsidRPr="00315BC9">
              <w:rPr>
                <w:rFonts w:cs="Arial"/>
              </w:rPr>
              <w:t xml:space="preserve"> is the transmitted power per 180 kHz in allocated RBs, measured in dBm.</w:t>
            </w:r>
          </w:p>
        </w:tc>
      </w:tr>
    </w:tbl>
    <w:p w14:paraId="1F8116A6" w14:textId="3B22B5C8" w:rsidR="00432306" w:rsidRDefault="00006DE5" w:rsidP="00332AEC">
      <w:pPr>
        <w:rPr>
          <w:rFonts w:ascii="Times New Roman" w:hAnsi="Times New Roman" w:cs="Times New Roman"/>
          <w:lang w:val="en-GB"/>
        </w:rPr>
      </w:pPr>
      <w:r>
        <w:rPr>
          <w:rFonts w:ascii="Times New Roman" w:hAnsi="Times New Roman" w:cs="Times New Roman"/>
          <w:lang w:val="en-GB"/>
        </w:rPr>
        <w:t>We see that the definition cannot be applied directly to V2V, as there is no clear interpretation of the involving parameters. In particular,</w:t>
      </w:r>
    </w:p>
    <w:p w14:paraId="3E040438" w14:textId="3A5930DA" w:rsidR="00006DE5" w:rsidRPr="003E130B" w:rsidRDefault="003E130B" w:rsidP="00166647">
      <w:pPr>
        <w:pStyle w:val="ListParagraph"/>
        <w:numPr>
          <w:ilvl w:val="0"/>
          <w:numId w:val="9"/>
        </w:numPr>
      </w:pPr>
      <w:r w:rsidRPr="007A5DA7">
        <w:rPr>
          <w:rFonts w:cs="Arial"/>
          <w:position w:val="-6"/>
          <w:highlight w:val="yellow"/>
        </w:rPr>
        <w:object w:dxaOrig="620" w:dyaOrig="260" w14:anchorId="7AFE8D02">
          <v:shape id="_x0000_i1035" type="#_x0000_t75" style="width:31.2pt;height:13.2pt" o:ole="">
            <v:imagedata r:id="rId31" o:title=""/>
          </v:shape>
          <o:OLEObject Type="Embed" ProgID="Equation.3" ShapeID="_x0000_i1035" DrawAspect="Content" ObjectID="_1539947152" r:id="rId32"/>
        </w:object>
      </w:r>
      <w:r w:rsidR="00006DE5">
        <w:rPr>
          <w:rFonts w:cs="Arial"/>
        </w:rPr>
        <w:t xml:space="preserve">: </w:t>
      </w:r>
      <w:r w:rsidR="00006DE5" w:rsidRPr="00315BC9">
        <w:rPr>
          <w:rFonts w:cs="Arial"/>
        </w:rPr>
        <w:t>is the limit specified in Table 6.5.2.1.1-1 for the modulation format used in the allocated RBs.</w:t>
      </w:r>
      <w:r w:rsidR="00006DE5">
        <w:rPr>
          <w:rFonts w:cs="Arial"/>
        </w:rPr>
        <w:t xml:space="preserve"> However, it is possible that PSSCH use 16QAM modulation while PSCCH always use QPSK. In this case, it is not clear how the </w:t>
      </w:r>
      <w:r w:rsidR="00006DE5" w:rsidRPr="00166647">
        <w:rPr>
          <w:rFonts w:cs="Arial"/>
          <w:position w:val="-6"/>
        </w:rPr>
        <w:object w:dxaOrig="620" w:dyaOrig="279" w14:anchorId="3E5ABEDE">
          <v:shape id="_x0000_i1036" type="#_x0000_t75" style="width:31.2pt;height:13.8pt" o:ole="">
            <v:imagedata r:id="rId21" o:title=""/>
          </v:shape>
          <o:OLEObject Type="Embed" ProgID="Equation.3" ShapeID="_x0000_i1036" DrawAspect="Content" ObjectID="_1539947153" r:id="rId33"/>
        </w:object>
      </w:r>
      <w:r w:rsidR="00006DE5">
        <w:rPr>
          <w:rFonts w:cs="Arial"/>
        </w:rPr>
        <w:t xml:space="preserve"> parameter should be set.</w:t>
      </w:r>
    </w:p>
    <w:p w14:paraId="0AB3EBBF" w14:textId="3DA314BC" w:rsidR="00006DE5" w:rsidRPr="003E130B" w:rsidRDefault="00006DE5" w:rsidP="00166647">
      <w:pPr>
        <w:pStyle w:val="ListParagraph"/>
        <w:numPr>
          <w:ilvl w:val="0"/>
          <w:numId w:val="9"/>
        </w:numPr>
      </w:pPr>
      <w:r w:rsidRPr="007A5DA7">
        <w:rPr>
          <w:rFonts w:cs="Arial"/>
          <w:position w:val="-10"/>
          <w:highlight w:val="yellow"/>
        </w:rPr>
        <w:object w:dxaOrig="400" w:dyaOrig="300" w14:anchorId="4B7FB592">
          <v:shape id="_x0000_i1037" type="#_x0000_t75" style="width:19.8pt;height:15pt" o:ole="">
            <v:imagedata r:id="rId23" o:title=""/>
          </v:shape>
          <o:OLEObject Type="Embed" ProgID="Equation.3" ShapeID="_x0000_i1037" DrawAspect="Content" ObjectID="_1539947154" r:id="rId34"/>
        </w:object>
      </w:r>
      <w:r>
        <w:rPr>
          <w:rFonts w:cs="Arial"/>
        </w:rPr>
        <w:t xml:space="preserve">: </w:t>
      </w:r>
      <w:r w:rsidRPr="00315BC9">
        <w:rPr>
          <w:rFonts w:cs="Arial"/>
        </w:rPr>
        <w:t>is the starting frequency offset between the allocated RB and the measured non-allocated RB</w:t>
      </w:r>
      <w:r>
        <w:rPr>
          <w:rFonts w:cs="Arial"/>
        </w:rPr>
        <w:t>. For the V2V case, there is an ambiguity on the reference point of the offset. Should it be the edge of the PSSCH RB allocation or should it be the edge of the PSCCH allocation/</w:t>
      </w:r>
    </w:p>
    <w:p w14:paraId="6CF34B5D" w14:textId="3F3A4D06" w:rsidR="00006DE5" w:rsidRPr="003E130B" w:rsidRDefault="00006DE5" w:rsidP="00166647">
      <w:pPr>
        <w:pStyle w:val="ListParagraph"/>
        <w:numPr>
          <w:ilvl w:val="0"/>
          <w:numId w:val="9"/>
        </w:numPr>
      </w:pPr>
      <w:r w:rsidRPr="007A5DA7">
        <w:rPr>
          <w:rFonts w:cs="Arial"/>
          <w:position w:val="-10"/>
          <w:highlight w:val="yellow"/>
        </w:rPr>
        <w:object w:dxaOrig="380" w:dyaOrig="340" w14:anchorId="64659129">
          <v:shape id="_x0000_i1038" type="#_x0000_t75" style="width:19.2pt;height:16.8pt" o:ole="">
            <v:imagedata r:id="rId29" o:title=""/>
          </v:shape>
          <o:OLEObject Type="Embed" ProgID="Equation.3" ShapeID="_x0000_i1038" DrawAspect="Content" ObjectID="_1539947155" r:id="rId35"/>
        </w:object>
      </w:r>
      <w:r>
        <w:rPr>
          <w:rFonts w:cs="Arial"/>
        </w:rPr>
        <w:t>: the requirement is defined assuming a flat PSD allocation on all RB. We have in V2V a 3dB PSD boosting for PSCCH allocated RB.</w:t>
      </w:r>
    </w:p>
    <w:p w14:paraId="713C3E81" w14:textId="388792ED" w:rsidR="003E130B" w:rsidRDefault="00006DE5" w:rsidP="003E130B">
      <w:pPr>
        <w:rPr>
          <w:rFonts w:ascii="Times New Roman" w:hAnsi="Times New Roman" w:cs="Times New Roman"/>
        </w:rPr>
      </w:pPr>
      <w:r>
        <w:rPr>
          <w:rFonts w:ascii="Times New Roman" w:hAnsi="Times New Roman" w:cs="Times New Roman"/>
        </w:rPr>
        <w:t xml:space="preserve">Moreover, </w:t>
      </w:r>
      <w:r w:rsidR="00166647">
        <w:rPr>
          <w:rFonts w:ascii="Times New Roman" w:hAnsi="Times New Roman" w:cs="Times New Roman"/>
        </w:rPr>
        <w:t xml:space="preserve">we notice that V2V is a completely new waveform (2 overlaid SC-FDM waveforms, each can be adjacent or non-adjacent, each can have different Modulation order, and an imbalance PSD allocation) in a new band. </w:t>
      </w:r>
      <w:r w:rsidR="00166647" w:rsidRPr="00D64DC7">
        <w:rPr>
          <w:rFonts w:ascii="Times New Roman" w:hAnsi="Times New Roman" w:cs="Times New Roman"/>
          <w:i/>
          <w:highlight w:val="yellow"/>
          <w:u w:val="single"/>
        </w:rPr>
        <w:t>In particular, when 2 SC-FDM waveforms are passed through a PA, inter-modulation products can arise which may severely impact the IBE per</w:t>
      </w:r>
      <w:r w:rsidR="00D64DC7" w:rsidRPr="00D64DC7">
        <w:rPr>
          <w:rFonts w:ascii="Times New Roman" w:hAnsi="Times New Roman" w:cs="Times New Roman"/>
          <w:i/>
          <w:highlight w:val="yellow"/>
          <w:u w:val="single"/>
        </w:rPr>
        <w:t>formance. Hence</w:t>
      </w:r>
      <w:r w:rsidR="00D64DC7" w:rsidRPr="00D64DC7">
        <w:rPr>
          <w:rFonts w:ascii="Times New Roman" w:hAnsi="Times New Roman" w:cs="Times New Roman"/>
          <w:i/>
          <w:highlight w:val="yellow"/>
          <w:u w:val="single"/>
          <w:shd w:val="clear" w:color="auto" w:fill="FFFF00"/>
        </w:rPr>
        <w:t>,</w:t>
      </w:r>
      <w:r w:rsidRPr="00D64DC7">
        <w:rPr>
          <w:rFonts w:ascii="Times New Roman" w:hAnsi="Times New Roman" w:cs="Times New Roman"/>
          <w:shd w:val="clear" w:color="auto" w:fill="FFFF00"/>
        </w:rPr>
        <w:t xml:space="preserve"> </w:t>
      </w:r>
      <w:r w:rsidR="00166647" w:rsidRPr="00D64DC7">
        <w:rPr>
          <w:rFonts w:ascii="Times New Roman" w:hAnsi="Times New Roman" w:cs="Times New Roman"/>
          <w:i/>
          <w:highlight w:val="yellow"/>
          <w:u w:val="single"/>
          <w:shd w:val="clear" w:color="auto" w:fill="FFFF00"/>
        </w:rPr>
        <w:t>it</w:t>
      </w:r>
      <w:r w:rsidR="00166647" w:rsidRPr="00166647">
        <w:rPr>
          <w:rFonts w:ascii="Times New Roman" w:hAnsi="Times New Roman" w:cs="Times New Roman"/>
          <w:i/>
          <w:highlight w:val="yellow"/>
          <w:u w:val="single"/>
        </w:rPr>
        <w:t xml:space="preserve"> may be true that </w:t>
      </w:r>
      <w:r w:rsidRPr="00166647">
        <w:rPr>
          <w:rFonts w:ascii="Times New Roman" w:hAnsi="Times New Roman" w:cs="Times New Roman"/>
          <w:i/>
          <w:highlight w:val="yellow"/>
          <w:u w:val="single"/>
        </w:rPr>
        <w:t xml:space="preserve">the </w:t>
      </w:r>
      <w:r w:rsidR="00166647" w:rsidRPr="00166647">
        <w:rPr>
          <w:rFonts w:ascii="Times New Roman" w:hAnsi="Times New Roman" w:cs="Times New Roman"/>
          <w:i/>
          <w:highlight w:val="yellow"/>
          <w:u w:val="single"/>
        </w:rPr>
        <w:t>legacy</w:t>
      </w:r>
      <w:r w:rsidRPr="00166647">
        <w:rPr>
          <w:rFonts w:ascii="Times New Roman" w:hAnsi="Times New Roman" w:cs="Times New Roman"/>
          <w:i/>
          <w:highlight w:val="yellow"/>
          <w:u w:val="single"/>
        </w:rPr>
        <w:t xml:space="preserve"> requirement can</w:t>
      </w:r>
      <w:r w:rsidR="00166647" w:rsidRPr="00166647">
        <w:rPr>
          <w:rFonts w:ascii="Times New Roman" w:hAnsi="Times New Roman" w:cs="Times New Roman"/>
          <w:i/>
          <w:highlight w:val="yellow"/>
          <w:u w:val="single"/>
        </w:rPr>
        <w:t>not</w:t>
      </w:r>
      <w:r w:rsidRPr="00166647">
        <w:rPr>
          <w:rFonts w:ascii="Times New Roman" w:hAnsi="Times New Roman" w:cs="Times New Roman"/>
          <w:i/>
          <w:highlight w:val="yellow"/>
          <w:u w:val="single"/>
        </w:rPr>
        <w:t xml:space="preserve"> be reused </w:t>
      </w:r>
      <w:r w:rsidR="00166647" w:rsidRPr="00166647">
        <w:rPr>
          <w:rFonts w:ascii="Times New Roman" w:hAnsi="Times New Roman" w:cs="Times New Roman"/>
          <w:i/>
          <w:highlight w:val="yellow"/>
          <w:u w:val="single"/>
        </w:rPr>
        <w:t xml:space="preserve">at all, even </w:t>
      </w:r>
      <w:r w:rsidRPr="00166647">
        <w:rPr>
          <w:rFonts w:ascii="Times New Roman" w:hAnsi="Times New Roman" w:cs="Times New Roman"/>
          <w:i/>
          <w:highlight w:val="yellow"/>
          <w:u w:val="single"/>
        </w:rPr>
        <w:t>with adjusted definition of the parameters</w:t>
      </w:r>
      <w:r w:rsidR="00166647">
        <w:rPr>
          <w:rFonts w:ascii="Times New Roman" w:hAnsi="Times New Roman" w:cs="Times New Roman"/>
        </w:rPr>
        <w:t>. In this case, a</w:t>
      </w:r>
      <w:r>
        <w:rPr>
          <w:rFonts w:ascii="Times New Roman" w:hAnsi="Times New Roman" w:cs="Times New Roman"/>
        </w:rPr>
        <w:t xml:space="preserve"> new </w:t>
      </w:r>
      <w:r w:rsidR="00166647">
        <w:rPr>
          <w:rFonts w:ascii="Times New Roman" w:hAnsi="Times New Roman" w:cs="Times New Roman"/>
        </w:rPr>
        <w:t>requirement</w:t>
      </w:r>
      <w:r>
        <w:rPr>
          <w:rFonts w:ascii="Times New Roman" w:hAnsi="Times New Roman" w:cs="Times New Roman"/>
        </w:rPr>
        <w:t xml:space="preserve"> </w:t>
      </w:r>
      <w:r w:rsidR="003E130B">
        <w:rPr>
          <w:rFonts w:ascii="Times New Roman" w:hAnsi="Times New Roman" w:cs="Times New Roman"/>
        </w:rPr>
        <w:t>need</w:t>
      </w:r>
      <w:r w:rsidR="00166647">
        <w:rPr>
          <w:rFonts w:ascii="Times New Roman" w:hAnsi="Times New Roman" w:cs="Times New Roman"/>
        </w:rPr>
        <w:t>s</w:t>
      </w:r>
      <w:r w:rsidR="003E130B">
        <w:rPr>
          <w:rFonts w:ascii="Times New Roman" w:hAnsi="Times New Roman" w:cs="Times New Roman"/>
        </w:rPr>
        <w:t xml:space="preserve"> to be defined. In any case, </w:t>
      </w:r>
      <w:r w:rsidR="00166647">
        <w:rPr>
          <w:rFonts w:ascii="Times New Roman" w:hAnsi="Times New Roman" w:cs="Times New Roman"/>
        </w:rPr>
        <w:t>IBE</w:t>
      </w:r>
      <w:r w:rsidR="003E130B">
        <w:rPr>
          <w:rFonts w:ascii="Times New Roman" w:hAnsi="Times New Roman" w:cs="Times New Roman"/>
        </w:rPr>
        <w:t xml:space="preserve"> requirement needs to be backed by simulation/measurement results. </w:t>
      </w:r>
    </w:p>
    <w:p w14:paraId="3AA9C768" w14:textId="1D98B8AC" w:rsidR="00006DE5" w:rsidRDefault="003E130B">
      <w:pPr>
        <w:rPr>
          <w:rFonts w:ascii="Times New Roman" w:hAnsi="Times New Roman" w:cs="Times New Roman"/>
        </w:rPr>
      </w:pPr>
      <w:r>
        <w:rPr>
          <w:rFonts w:ascii="Times New Roman" w:hAnsi="Times New Roman" w:cs="Times New Roman"/>
        </w:rPr>
        <w:t>Given this is an important remaining Core requirement left from V2V work item, we propose companies to contribute concrete proposal and start providing simulation/measurement results from next meeting so that we can progress on schedule.</w:t>
      </w:r>
    </w:p>
    <w:p w14:paraId="16698BFC" w14:textId="358257B3" w:rsidR="00D64DC7" w:rsidRDefault="003E130B">
      <w:pPr>
        <w:rPr>
          <w:rFonts w:ascii="Times New Roman" w:hAnsi="Times New Roman" w:cs="Times New Roman"/>
          <w:i/>
          <w:u w:val="single"/>
        </w:rPr>
      </w:pPr>
      <w:r>
        <w:rPr>
          <w:rFonts w:ascii="Times New Roman" w:hAnsi="Times New Roman" w:cs="Times New Roman"/>
          <w:b/>
          <w:i/>
          <w:u w:val="single"/>
        </w:rPr>
        <w:t xml:space="preserve">Observation 1: </w:t>
      </w:r>
      <w:r w:rsidR="00D64DC7" w:rsidRPr="00D64DC7">
        <w:rPr>
          <w:rFonts w:ascii="Times New Roman" w:hAnsi="Times New Roman" w:cs="Times New Roman"/>
          <w:i/>
          <w:u w:val="single"/>
        </w:rPr>
        <w:t xml:space="preserve">V2V is a completely new waveform (2 overlaid SC-FDM waveforms, each can be adjacent or non-adjacent, each can have different Modulation order, and an imbalance PSD allocation) in a new band. </w:t>
      </w:r>
    </w:p>
    <w:p w14:paraId="797DBC63" w14:textId="128FB5BE" w:rsidR="00D64DC7" w:rsidRDefault="00D64DC7">
      <w:pPr>
        <w:rPr>
          <w:rFonts w:ascii="Times New Roman" w:hAnsi="Times New Roman" w:cs="Times New Roman"/>
          <w:i/>
          <w:u w:val="single"/>
        </w:rPr>
      </w:pPr>
      <w:r>
        <w:rPr>
          <w:rFonts w:ascii="Times New Roman" w:hAnsi="Times New Roman" w:cs="Times New Roman"/>
          <w:b/>
          <w:i/>
          <w:u w:val="single"/>
        </w:rPr>
        <w:t xml:space="preserve">Observation </w:t>
      </w:r>
      <w:r>
        <w:rPr>
          <w:rFonts w:ascii="Times New Roman" w:hAnsi="Times New Roman" w:cs="Times New Roman"/>
          <w:b/>
          <w:i/>
          <w:u w:val="single"/>
        </w:rPr>
        <w:t>2</w:t>
      </w:r>
      <w:r>
        <w:rPr>
          <w:rFonts w:ascii="Times New Roman" w:hAnsi="Times New Roman" w:cs="Times New Roman"/>
          <w:i/>
          <w:u w:val="single"/>
        </w:rPr>
        <w:t>: when</w:t>
      </w:r>
      <w:r w:rsidRPr="00D64DC7">
        <w:rPr>
          <w:rFonts w:ascii="Times New Roman" w:hAnsi="Times New Roman" w:cs="Times New Roman"/>
          <w:i/>
          <w:u w:val="single"/>
        </w:rPr>
        <w:t xml:space="preserve"> 2 SC-FDM waveforms are passed through a PA, inter-modulation products can arise which may severely impact the IBE performance.</w:t>
      </w:r>
    </w:p>
    <w:p w14:paraId="7C4B4412" w14:textId="57050AB5" w:rsidR="00D64DC7" w:rsidRPr="00D64DC7" w:rsidRDefault="00D64DC7">
      <w:pPr>
        <w:rPr>
          <w:rFonts w:ascii="Times New Roman" w:hAnsi="Times New Roman" w:cs="Times New Roman"/>
          <w:b/>
          <w:u w:val="single"/>
        </w:rPr>
      </w:pPr>
      <w:r>
        <w:rPr>
          <w:rFonts w:ascii="Times New Roman" w:hAnsi="Times New Roman" w:cs="Times New Roman"/>
          <w:b/>
          <w:u w:val="single"/>
        </w:rPr>
        <w:t>Proposal</w:t>
      </w:r>
      <w:r>
        <w:rPr>
          <w:rFonts w:ascii="Times New Roman" w:hAnsi="Times New Roman" w:cs="Times New Roman"/>
          <w:b/>
          <w:u w:val="single"/>
        </w:rPr>
        <w:t xml:space="preserve"> 5</w:t>
      </w:r>
      <w:r>
        <w:rPr>
          <w:rFonts w:ascii="Times New Roman" w:hAnsi="Times New Roman" w:cs="Times New Roman"/>
          <w:b/>
          <w:u w:val="single"/>
        </w:rPr>
        <w:t>:</w:t>
      </w:r>
      <w:r>
        <w:rPr>
          <w:rFonts w:ascii="Times New Roman" w:hAnsi="Times New Roman" w:cs="Times New Roman"/>
          <w:b/>
        </w:rPr>
        <w:t xml:space="preserve"> </w:t>
      </w:r>
      <w:r>
        <w:rPr>
          <w:rFonts w:ascii="Times New Roman" w:hAnsi="Times New Roman" w:cs="Times New Roman"/>
          <w:b/>
        </w:rPr>
        <w:t>RAN4 need to carefully study IBE requirements for V2V.</w:t>
      </w:r>
      <w:r>
        <w:rPr>
          <w:rFonts w:ascii="Times New Roman" w:hAnsi="Times New Roman" w:cs="Times New Roman"/>
          <w:b/>
          <w:u w:val="single"/>
        </w:rPr>
        <w:t xml:space="preserve"> </w:t>
      </w:r>
    </w:p>
    <w:p w14:paraId="6D9F72AE" w14:textId="4A3FF465" w:rsidR="003E130B" w:rsidRDefault="003E130B">
      <w:pPr>
        <w:rPr>
          <w:rFonts w:ascii="Times New Roman" w:hAnsi="Times New Roman" w:cs="Times New Roman"/>
          <w:i/>
          <w:u w:val="single"/>
        </w:rPr>
      </w:pPr>
      <w:r>
        <w:rPr>
          <w:rFonts w:ascii="Times New Roman" w:hAnsi="Times New Roman" w:cs="Times New Roman"/>
          <w:b/>
          <w:i/>
          <w:u w:val="single"/>
        </w:rPr>
        <w:t xml:space="preserve">Observation </w:t>
      </w:r>
      <w:r w:rsidR="00D64DC7">
        <w:rPr>
          <w:rFonts w:ascii="Times New Roman" w:hAnsi="Times New Roman" w:cs="Times New Roman"/>
          <w:b/>
          <w:i/>
          <w:u w:val="single"/>
        </w:rPr>
        <w:t>3</w:t>
      </w:r>
      <w:r>
        <w:rPr>
          <w:rFonts w:ascii="Times New Roman" w:hAnsi="Times New Roman" w:cs="Times New Roman"/>
          <w:b/>
          <w:i/>
          <w:u w:val="single"/>
        </w:rPr>
        <w:t xml:space="preserve">: </w:t>
      </w:r>
      <w:r>
        <w:rPr>
          <w:rFonts w:ascii="Times New Roman" w:hAnsi="Times New Roman" w:cs="Times New Roman"/>
          <w:i/>
          <w:u w:val="single"/>
        </w:rPr>
        <w:t>defining IBE requirement need backing simulation/measurement results.</w:t>
      </w:r>
    </w:p>
    <w:p w14:paraId="6E5FC405" w14:textId="699400C7" w:rsidR="003E130B" w:rsidRPr="00166647" w:rsidRDefault="003E130B">
      <w:pPr>
        <w:rPr>
          <w:rFonts w:ascii="Times New Roman" w:hAnsi="Times New Roman" w:cs="Times New Roman"/>
          <w:b/>
          <w:u w:val="single"/>
        </w:rPr>
      </w:pPr>
      <w:r>
        <w:rPr>
          <w:rFonts w:ascii="Times New Roman" w:hAnsi="Times New Roman" w:cs="Times New Roman"/>
          <w:b/>
          <w:u w:val="single"/>
        </w:rPr>
        <w:t>Proposal</w:t>
      </w:r>
      <w:r w:rsidR="00D64DC7">
        <w:rPr>
          <w:rFonts w:ascii="Times New Roman" w:hAnsi="Times New Roman" w:cs="Times New Roman"/>
          <w:b/>
          <w:u w:val="single"/>
        </w:rPr>
        <w:t xml:space="preserve"> 6</w:t>
      </w:r>
      <w:r>
        <w:rPr>
          <w:rFonts w:ascii="Times New Roman" w:hAnsi="Times New Roman" w:cs="Times New Roman"/>
          <w:b/>
          <w:u w:val="single"/>
        </w:rPr>
        <w:t>:</w:t>
      </w:r>
      <w:r>
        <w:rPr>
          <w:rFonts w:ascii="Times New Roman" w:hAnsi="Times New Roman" w:cs="Times New Roman"/>
          <w:b/>
        </w:rPr>
        <w:t xml:space="preserve"> Companies are encouraged to provide concrete proposal and simulation/measurement results from next meeting.</w:t>
      </w:r>
      <w:r>
        <w:rPr>
          <w:rFonts w:ascii="Times New Roman" w:hAnsi="Times New Roman" w:cs="Times New Roman"/>
          <w:b/>
          <w:u w:val="single"/>
        </w:rPr>
        <w:t xml:space="preserve"> </w:t>
      </w:r>
    </w:p>
    <w:p w14:paraId="2EBF4BA8" w14:textId="77777777" w:rsidR="00DD6E96" w:rsidRDefault="00DD6E96" w:rsidP="00DD6E96">
      <w:pPr>
        <w:pStyle w:val="Heading1"/>
        <w:jc w:val="both"/>
        <w:rPr>
          <w:lang w:val="en-US"/>
        </w:rPr>
      </w:pPr>
      <w:r>
        <w:rPr>
          <w:lang w:val="en-US"/>
        </w:rPr>
        <w:lastRenderedPageBreak/>
        <w:t>Conclusions</w:t>
      </w:r>
    </w:p>
    <w:p w14:paraId="1F0AFB3A" w14:textId="44D5E24F" w:rsidR="00DF67E5" w:rsidRDefault="00DF67E5" w:rsidP="00332AEC">
      <w:pPr>
        <w:rPr>
          <w:rFonts w:ascii="Times New Roman" w:hAnsi="Times New Roman" w:cs="Times New Roman"/>
          <w:b/>
          <w:u w:val="single"/>
        </w:rPr>
      </w:pPr>
      <w:r w:rsidRPr="00621BF2">
        <w:rPr>
          <w:rFonts w:ascii="Times New Roman" w:hAnsi="Times New Roman" w:cs="Times New Roman"/>
          <w:b/>
          <w:u w:val="single"/>
        </w:rPr>
        <w:t>Proposal 1</w:t>
      </w:r>
      <w:r w:rsidRPr="00646340">
        <w:rPr>
          <w:rFonts w:ascii="Times New Roman" w:hAnsi="Times New Roman" w:cs="Times New Roman"/>
          <w:b/>
        </w:rPr>
        <w:t>: Add clarification that EVM requirements always apply separately for V2V PSSCH and PSCCH</w:t>
      </w:r>
      <w:r w:rsidRPr="00DF67E5">
        <w:rPr>
          <w:rFonts w:ascii="Times New Roman" w:hAnsi="Times New Roman" w:cs="Times New Roman"/>
          <w:b/>
        </w:rPr>
        <w:t>.</w:t>
      </w:r>
    </w:p>
    <w:p w14:paraId="15A79F1B" w14:textId="77777777" w:rsidR="00DF67E5" w:rsidRPr="00646340" w:rsidRDefault="00DF67E5" w:rsidP="00DF67E5">
      <w:pPr>
        <w:rPr>
          <w:rFonts w:ascii="Times New Roman" w:hAnsi="Times New Roman" w:cs="Times New Roman"/>
          <w:b/>
        </w:rPr>
      </w:pPr>
      <w:r w:rsidRPr="00646340">
        <w:rPr>
          <w:rFonts w:ascii="Times New Roman" w:hAnsi="Times New Roman" w:cs="Times New Roman"/>
          <w:b/>
          <w:u w:val="single"/>
        </w:rPr>
        <w:t>Proposal 2</w:t>
      </w:r>
      <w:r w:rsidRPr="00646340">
        <w:rPr>
          <w:rFonts w:ascii="Times New Roman" w:hAnsi="Times New Roman" w:cs="Times New Roman"/>
          <w:b/>
        </w:rPr>
        <w:t>: The measurement period for V2V PSSCH and PSCCH EVM is 15 subframes. The measurement period of V2V reference signal EVM is 30 subframes.</w:t>
      </w:r>
    </w:p>
    <w:p w14:paraId="3D1B013A" w14:textId="77777777" w:rsidR="00DF67E5" w:rsidRDefault="00DF67E5" w:rsidP="00DF67E5">
      <w:pPr>
        <w:rPr>
          <w:rFonts w:ascii="Times New Roman" w:hAnsi="Times New Roman" w:cs="Times New Roman"/>
          <w:b/>
          <w:lang w:val="en-GB"/>
        </w:rPr>
      </w:pPr>
      <w:r>
        <w:rPr>
          <w:rFonts w:ascii="Times New Roman" w:hAnsi="Times New Roman" w:cs="Times New Roman"/>
          <w:b/>
          <w:u w:val="single"/>
          <w:lang w:val="en-GB"/>
        </w:rPr>
        <w:t xml:space="preserve">Proposal 4: </w:t>
      </w:r>
      <w:r w:rsidRPr="00332AEC">
        <w:rPr>
          <w:rFonts w:ascii="Times New Roman" w:eastAsia="MS Mincho" w:hAnsi="Times New Roman" w:cs="Times New Roman"/>
          <w:b/>
          <w:lang w:val="en-GB"/>
        </w:rPr>
        <w:t xml:space="preserve">the </w:t>
      </w:r>
      <w:r w:rsidRPr="00332AEC">
        <w:rPr>
          <w:rFonts w:ascii="Times New Roman" w:hAnsi="Times New Roman" w:cs="Times New Roman"/>
          <w:b/>
          <w:lang w:val="en-GB"/>
        </w:rPr>
        <w:t xml:space="preserve">formula for </w:t>
      </w:r>
      <w:r w:rsidRPr="002E6E6A">
        <w:rPr>
          <w:rFonts w:ascii="Times New Roman" w:hAnsi="Times New Roman" w:cs="Times New Roman"/>
          <w:b/>
          <w:i/>
        </w:rPr>
        <w:t>P</w:t>
      </w:r>
      <w:r w:rsidRPr="002E6E6A">
        <w:rPr>
          <w:rFonts w:ascii="Times New Roman" w:hAnsi="Times New Roman" w:cs="Times New Roman"/>
          <w:b/>
          <w:i/>
          <w:vertAlign w:val="subscript"/>
        </w:rPr>
        <w:t>CMAX_L, c</w:t>
      </w:r>
      <w:r w:rsidRPr="002E6E6A">
        <w:rPr>
          <w:rFonts w:ascii="Times New Roman" w:hAnsi="Times New Roman" w:cs="Times New Roman"/>
          <w:b/>
          <w:i/>
        </w:rPr>
        <w:t xml:space="preserve"> </w:t>
      </w:r>
      <w:r w:rsidRPr="00332AEC">
        <w:rPr>
          <w:rFonts w:ascii="Times New Roman" w:hAnsi="Times New Roman" w:cs="Times New Roman"/>
          <w:b/>
          <w:lang w:val="en-GB"/>
        </w:rPr>
        <w:t xml:space="preserve">is </w:t>
      </w:r>
      <w:r>
        <w:rPr>
          <w:rFonts w:ascii="Times New Roman" w:hAnsi="Times New Roman" w:cs="Times New Roman"/>
          <w:b/>
          <w:lang w:val="en-GB"/>
        </w:rPr>
        <w:t>specified as</w:t>
      </w:r>
    </w:p>
    <w:p w14:paraId="500ADF11" w14:textId="705D55CC" w:rsidR="00DF67E5" w:rsidRDefault="00DF67E5" w:rsidP="00DF67E5">
      <w:pPr>
        <w:pStyle w:val="EQ"/>
        <w:rPr>
          <w:noProof w:val="0"/>
          <w:lang w:bidi="bn-IN"/>
        </w:rPr>
      </w:pPr>
      <w:r>
        <w:rPr>
          <w:noProof w:val="0"/>
          <w:lang w:bidi="bn-IN"/>
        </w:rPr>
        <w:t>P</w:t>
      </w:r>
      <w:r>
        <w:rPr>
          <w:noProof w:val="0"/>
          <w:vertAlign w:val="subscript"/>
          <w:lang w:bidi="bn-IN"/>
        </w:rPr>
        <w:t>CMAX_L</w:t>
      </w:r>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 xml:space="preserve">, </w:t>
      </w:r>
      <w:r>
        <w:rPr>
          <w:rFonts w:cs="Vrinda"/>
          <w:i/>
          <w:noProof w:val="0"/>
          <w:vertAlign w:val="subscript"/>
          <w:lang w:bidi="bn-IN"/>
        </w:rPr>
        <w:t>c</w:t>
      </w:r>
      <w:r>
        <w:rPr>
          <w:noProof w:val="0"/>
          <w:vertAlign w:val="subscript"/>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 xml:space="preserve">, </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 xml:space="preserve"> – MAX (</w:t>
      </w:r>
      <w:r w:rsidR="00166647">
        <w:rPr>
          <w:noProof w:val="0"/>
          <w:lang w:bidi="bn-IN"/>
        </w:rPr>
        <w:t>MPR</w:t>
      </w:r>
      <w:r w:rsidR="00166647">
        <w:rPr>
          <w:rFonts w:cs="Vrinda"/>
          <w:i/>
          <w:noProof w:val="0"/>
          <w:vertAlign w:val="subscript"/>
          <w:lang w:bidi="bn-IN"/>
        </w:rPr>
        <w:t>c</w:t>
      </w:r>
      <w:r w:rsidR="00166647">
        <w:rPr>
          <w:noProof w:val="0"/>
          <w:lang w:bidi="bn-IN"/>
        </w:rPr>
        <w:t xml:space="preserve"> + MAX (A-MPR</w:t>
      </w:r>
      <w:r w:rsidR="00166647">
        <w:rPr>
          <w:rFonts w:cs="Vrinda"/>
          <w:i/>
          <w:noProof w:val="0"/>
          <w:vertAlign w:val="subscript"/>
          <w:lang w:bidi="bn-IN"/>
        </w:rPr>
        <w:t>c</w:t>
      </w:r>
      <w:r w:rsidR="00166647">
        <w:rPr>
          <w:noProof w:val="0"/>
          <w:lang w:bidi="bn-IN"/>
        </w:rPr>
        <w:t xml:space="preserve">, D-MPR) </w:t>
      </w:r>
      <w:r>
        <w:rPr>
          <w:noProof w:val="0"/>
          <w:lang w:bidi="bn-IN"/>
        </w:rPr>
        <w:t>+</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ProSe</w:t>
      </w:r>
      <w:r>
        <w:rPr>
          <w:noProof w:val="0"/>
          <w:lang w:bidi="bn-IN"/>
        </w:rPr>
        <w:t>, P-MPR</w:t>
      </w:r>
      <w:r>
        <w:rPr>
          <w:rFonts w:cs="Vrinda"/>
          <w:i/>
          <w:noProof w:val="0"/>
          <w:vertAlign w:val="subscript"/>
          <w:lang w:bidi="bn-IN"/>
        </w:rPr>
        <w:t>c</w:t>
      </w:r>
      <w:r>
        <w:rPr>
          <w:noProof w:val="0"/>
          <w:lang w:bidi="bn-IN"/>
        </w:rPr>
        <w:t>)},</w:t>
      </w:r>
    </w:p>
    <w:p w14:paraId="4C1C7694" w14:textId="47B16E97" w:rsidR="00DF67E5" w:rsidRPr="00DF67E5" w:rsidRDefault="00DF67E5" w:rsidP="00DF67E5">
      <w:pPr>
        <w:rPr>
          <w:b/>
        </w:rPr>
      </w:pPr>
      <w:r w:rsidRPr="00DF67E5">
        <w:rPr>
          <w:rFonts w:ascii="Times New Roman" w:hAnsi="Times New Roman" w:cs="Times New Roman"/>
          <w:b/>
          <w:lang w:val="en-GB" w:bidi="bn-IN"/>
        </w:rPr>
        <w:t>where</w:t>
      </w:r>
      <w:r w:rsidRPr="00DF67E5">
        <w:rPr>
          <w:b/>
          <w:lang w:val="en-GB" w:bidi="bn-IN"/>
        </w:rPr>
        <w:t xml:space="preserve"> </w:t>
      </w:r>
      <w:r w:rsidRPr="00DF67E5">
        <w:rPr>
          <w:rFonts w:ascii="Times New Roman" w:hAnsi="Times New Roman" w:cs="Times New Roman"/>
          <w:b/>
        </w:rPr>
        <w:t xml:space="preserve">unless stated otherwise, a </w:t>
      </w:r>
      <w:r w:rsidR="00166647">
        <w:rPr>
          <w:rFonts w:ascii="Times New Roman" w:hAnsi="Times New Roman" w:cs="Times New Roman"/>
          <w:b/>
        </w:rPr>
        <w:t>D</w:t>
      </w:r>
      <w:r w:rsidRPr="00DF67E5">
        <w:rPr>
          <w:rFonts w:ascii="Times New Roman" w:hAnsi="Times New Roman" w:cs="Times New Roman"/>
          <w:b/>
        </w:rPr>
        <w:t>-MPR of 0 dB shall be used.</w:t>
      </w:r>
      <w:r w:rsidRPr="00DF67E5">
        <w:rPr>
          <w:b/>
        </w:rPr>
        <w:t xml:space="preserve"> </w:t>
      </w:r>
    </w:p>
    <w:p w14:paraId="59E3AC97" w14:textId="7B8D9DE3" w:rsidR="00D64DC7" w:rsidRDefault="00D64DC7" w:rsidP="00D64DC7">
      <w:pPr>
        <w:rPr>
          <w:rFonts w:ascii="Times New Roman" w:hAnsi="Times New Roman" w:cs="Times New Roman"/>
          <w:i/>
          <w:u w:val="single"/>
        </w:rPr>
      </w:pPr>
      <w:r>
        <w:rPr>
          <w:rFonts w:ascii="Times New Roman" w:hAnsi="Times New Roman" w:cs="Times New Roman"/>
          <w:b/>
          <w:i/>
          <w:u w:val="single"/>
        </w:rPr>
        <w:t xml:space="preserve">Observation 1: </w:t>
      </w:r>
      <w:bookmarkStart w:id="0" w:name="_GoBack"/>
      <w:bookmarkEnd w:id="0"/>
      <w:r w:rsidRPr="00D64DC7">
        <w:rPr>
          <w:rFonts w:ascii="Times New Roman" w:hAnsi="Times New Roman" w:cs="Times New Roman"/>
          <w:i/>
          <w:u w:val="single"/>
        </w:rPr>
        <w:t xml:space="preserve">V2V is a completely new waveform (2 overlaid SC-FDM waveforms, each can be adjacent or non-adjacent, each can have different Modulation order, and an imbalance PSD allocation) in a new band. </w:t>
      </w:r>
    </w:p>
    <w:p w14:paraId="0E610E00" w14:textId="77777777" w:rsidR="00D64DC7" w:rsidRDefault="00D64DC7" w:rsidP="00D64DC7">
      <w:pPr>
        <w:rPr>
          <w:rFonts w:ascii="Times New Roman" w:hAnsi="Times New Roman" w:cs="Times New Roman"/>
          <w:i/>
          <w:u w:val="single"/>
        </w:rPr>
      </w:pPr>
      <w:r>
        <w:rPr>
          <w:rFonts w:ascii="Times New Roman" w:hAnsi="Times New Roman" w:cs="Times New Roman"/>
          <w:b/>
          <w:i/>
          <w:u w:val="single"/>
        </w:rPr>
        <w:t>Observation 2</w:t>
      </w:r>
      <w:r>
        <w:rPr>
          <w:rFonts w:ascii="Times New Roman" w:hAnsi="Times New Roman" w:cs="Times New Roman"/>
          <w:i/>
          <w:u w:val="single"/>
        </w:rPr>
        <w:t>: when</w:t>
      </w:r>
      <w:r w:rsidRPr="00D64DC7">
        <w:rPr>
          <w:rFonts w:ascii="Times New Roman" w:hAnsi="Times New Roman" w:cs="Times New Roman"/>
          <w:i/>
          <w:u w:val="single"/>
        </w:rPr>
        <w:t xml:space="preserve"> 2 SC-FDM waveforms are passed through a PA, inter-modulation products can arise which may severely impact the IBE performance.</w:t>
      </w:r>
    </w:p>
    <w:p w14:paraId="3C62D41E" w14:textId="77777777" w:rsidR="00D64DC7" w:rsidRPr="00D64DC7" w:rsidRDefault="00D64DC7" w:rsidP="00D64DC7">
      <w:pPr>
        <w:rPr>
          <w:rFonts w:ascii="Times New Roman" w:hAnsi="Times New Roman" w:cs="Times New Roman"/>
          <w:b/>
          <w:u w:val="single"/>
        </w:rPr>
      </w:pPr>
      <w:r>
        <w:rPr>
          <w:rFonts w:ascii="Times New Roman" w:hAnsi="Times New Roman" w:cs="Times New Roman"/>
          <w:b/>
          <w:u w:val="single"/>
        </w:rPr>
        <w:t>Proposal 5:</w:t>
      </w:r>
      <w:r>
        <w:rPr>
          <w:rFonts w:ascii="Times New Roman" w:hAnsi="Times New Roman" w:cs="Times New Roman"/>
          <w:b/>
        </w:rPr>
        <w:t xml:space="preserve"> RAN4 need to carefully study IBE requirements for V2V.</w:t>
      </w:r>
      <w:r>
        <w:rPr>
          <w:rFonts w:ascii="Times New Roman" w:hAnsi="Times New Roman" w:cs="Times New Roman"/>
          <w:b/>
          <w:u w:val="single"/>
        </w:rPr>
        <w:t xml:space="preserve"> </w:t>
      </w:r>
    </w:p>
    <w:p w14:paraId="36704CA1" w14:textId="77777777" w:rsidR="00D64DC7" w:rsidRDefault="00D64DC7" w:rsidP="00D64DC7">
      <w:pPr>
        <w:rPr>
          <w:rFonts w:ascii="Times New Roman" w:hAnsi="Times New Roman" w:cs="Times New Roman"/>
          <w:i/>
          <w:u w:val="single"/>
        </w:rPr>
      </w:pPr>
      <w:r>
        <w:rPr>
          <w:rFonts w:ascii="Times New Roman" w:hAnsi="Times New Roman" w:cs="Times New Roman"/>
          <w:b/>
          <w:i/>
          <w:u w:val="single"/>
        </w:rPr>
        <w:t xml:space="preserve">Observation 3: </w:t>
      </w:r>
      <w:r>
        <w:rPr>
          <w:rFonts w:ascii="Times New Roman" w:hAnsi="Times New Roman" w:cs="Times New Roman"/>
          <w:i/>
          <w:u w:val="single"/>
        </w:rPr>
        <w:t>defining IBE requirement need backing simulation/measurement results.</w:t>
      </w:r>
    </w:p>
    <w:p w14:paraId="0D388C24" w14:textId="77777777" w:rsidR="00D64DC7" w:rsidRPr="00166647" w:rsidRDefault="00D64DC7" w:rsidP="00D64DC7">
      <w:pPr>
        <w:rPr>
          <w:rFonts w:ascii="Times New Roman" w:hAnsi="Times New Roman" w:cs="Times New Roman"/>
          <w:b/>
          <w:u w:val="single"/>
        </w:rPr>
      </w:pPr>
      <w:r>
        <w:rPr>
          <w:rFonts w:ascii="Times New Roman" w:hAnsi="Times New Roman" w:cs="Times New Roman"/>
          <w:b/>
          <w:u w:val="single"/>
        </w:rPr>
        <w:t>Proposal 6:</w:t>
      </w:r>
      <w:r>
        <w:rPr>
          <w:rFonts w:ascii="Times New Roman" w:hAnsi="Times New Roman" w:cs="Times New Roman"/>
          <w:b/>
        </w:rPr>
        <w:t xml:space="preserve"> Companies are encouraged to provide concrete proposal and simulation/measurement results from next meeting.</w:t>
      </w:r>
      <w:r>
        <w:rPr>
          <w:rFonts w:ascii="Times New Roman" w:hAnsi="Times New Roman" w:cs="Times New Roman"/>
          <w:b/>
          <w:u w:val="single"/>
        </w:rPr>
        <w:t xml:space="preserve"> </w:t>
      </w:r>
    </w:p>
    <w:p w14:paraId="540F1137" w14:textId="1198AC24" w:rsidR="00A31498" w:rsidRDefault="00DD6E96" w:rsidP="0059489A">
      <w:pPr>
        <w:pStyle w:val="Heading1"/>
        <w:jc w:val="both"/>
        <w:rPr>
          <w:lang w:val="en-US"/>
        </w:rPr>
      </w:pPr>
      <w:r>
        <w:rPr>
          <w:lang w:val="en-US"/>
        </w:rPr>
        <w:t>References</w:t>
      </w:r>
    </w:p>
    <w:p w14:paraId="40498770" w14:textId="75676491"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DF67E5">
        <w:rPr>
          <w:lang w:val="en-US" w:eastAsia="zh-CN"/>
        </w:rPr>
        <w:t>1</w:t>
      </w:r>
      <w:r>
        <w:rPr>
          <w:lang w:val="en-US" w:eastAsia="zh-CN"/>
        </w:rPr>
        <w:t xml:space="preserve">] </w:t>
      </w:r>
      <w:r w:rsidRPr="00AF27AA">
        <w:rPr>
          <w:lang w:val="en-US" w:eastAsia="zh-CN"/>
        </w:rPr>
        <w:t>TS 36.101</w:t>
      </w:r>
    </w:p>
    <w:p w14:paraId="697C6282" w14:textId="57BB6CFD"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DF67E5">
        <w:rPr>
          <w:lang w:val="en-US" w:eastAsia="zh-CN"/>
        </w:rPr>
        <w:t>2</w:t>
      </w:r>
      <w:r>
        <w:rPr>
          <w:lang w:val="en-US" w:eastAsia="zh-CN"/>
        </w:rPr>
        <w:t>] R4-</w:t>
      </w:r>
      <w:r w:rsidR="003E130B">
        <w:rPr>
          <w:lang w:val="en-US" w:eastAsia="zh-CN"/>
        </w:rPr>
        <w:t>1609927</w:t>
      </w:r>
      <w:r>
        <w:rPr>
          <w:lang w:val="en-US" w:eastAsia="zh-CN"/>
        </w:rPr>
        <w:t xml:space="preserve">, </w:t>
      </w:r>
      <w:r w:rsidR="00DF67E5">
        <w:rPr>
          <w:lang w:val="en-US" w:eastAsia="zh-CN"/>
        </w:rPr>
        <w:t>On Handling CEN DSRC Protection Requirements in Region 1</w:t>
      </w:r>
      <w:r>
        <w:rPr>
          <w:lang w:val="en-US" w:eastAsia="zh-CN"/>
        </w:rPr>
        <w:t>, Qualcomm Incorporated</w:t>
      </w:r>
    </w:p>
    <w:p w14:paraId="4CD75582" w14:textId="5A001F77" w:rsidR="00AF27AA" w:rsidRP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3E130B">
        <w:rPr>
          <w:lang w:val="en-US" w:eastAsia="zh-CN"/>
        </w:rPr>
        <w:t>3</w:t>
      </w:r>
      <w:r>
        <w:rPr>
          <w:lang w:val="en-US" w:eastAsia="zh-CN"/>
        </w:rPr>
        <w:t xml:space="preserve">] R4-167151, </w:t>
      </w:r>
      <w:r w:rsidRPr="00AF27AA">
        <w:rPr>
          <w:lang w:val="en-US" w:eastAsia="zh-CN"/>
        </w:rPr>
        <w:t>WF on V2X UE RF requirements</w:t>
      </w:r>
      <w:r>
        <w:rPr>
          <w:lang w:val="en-US" w:eastAsia="zh-CN"/>
        </w:rPr>
        <w:t>, Qualcomm, Erricson</w:t>
      </w:r>
    </w:p>
    <w:p w14:paraId="7B459B2B" w14:textId="77777777" w:rsidR="00583CEE" w:rsidRDefault="00583CEE"/>
    <w:sectPr w:rsidR="00583CEE" w:rsidSect="00DD6E96">
      <w:footerReference w:type="even" r:id="rId36"/>
      <w:footerReference w:type="default" r:id="rId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FEFA6" w14:textId="77777777" w:rsidR="00B93F81" w:rsidRDefault="00B93F81">
      <w:pPr>
        <w:spacing w:after="0" w:line="240" w:lineRule="auto"/>
      </w:pPr>
      <w:r>
        <w:separator/>
      </w:r>
    </w:p>
  </w:endnote>
  <w:endnote w:type="continuationSeparator" w:id="0">
    <w:p w14:paraId="03607D49" w14:textId="77777777" w:rsidR="00B93F81" w:rsidRDefault="00B93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0F66">
      <w:rPr>
        <w:rStyle w:val="PageNumber"/>
      </w:rPr>
      <w:t>3</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E2124" w14:textId="77777777" w:rsidR="00B93F81" w:rsidRDefault="00B93F81">
      <w:pPr>
        <w:spacing w:after="0" w:line="240" w:lineRule="auto"/>
      </w:pPr>
      <w:r>
        <w:separator/>
      </w:r>
    </w:p>
  </w:footnote>
  <w:footnote w:type="continuationSeparator" w:id="0">
    <w:p w14:paraId="16A96964" w14:textId="77777777" w:rsidR="00B93F81" w:rsidRDefault="00B93F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7"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6"/>
  </w:num>
  <w:num w:numId="5">
    <w:abstractNumId w:val="5"/>
  </w:num>
  <w:num w:numId="6">
    <w:abstractNumId w:val="0"/>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2425"/>
    <w:rsid w:val="00166647"/>
    <w:rsid w:val="001A321E"/>
    <w:rsid w:val="002211D0"/>
    <w:rsid w:val="002514C1"/>
    <w:rsid w:val="002E6E6A"/>
    <w:rsid w:val="0032244B"/>
    <w:rsid w:val="00323EAA"/>
    <w:rsid w:val="00332AEC"/>
    <w:rsid w:val="003E130B"/>
    <w:rsid w:val="003F6DC0"/>
    <w:rsid w:val="003F7ACC"/>
    <w:rsid w:val="00432306"/>
    <w:rsid w:val="004447B3"/>
    <w:rsid w:val="004542EA"/>
    <w:rsid w:val="00474A88"/>
    <w:rsid w:val="00476D10"/>
    <w:rsid w:val="004957D9"/>
    <w:rsid w:val="004E1CDD"/>
    <w:rsid w:val="005635CF"/>
    <w:rsid w:val="00572520"/>
    <w:rsid w:val="00583CEE"/>
    <w:rsid w:val="0059489A"/>
    <w:rsid w:val="005B4687"/>
    <w:rsid w:val="005B6858"/>
    <w:rsid w:val="00621BF2"/>
    <w:rsid w:val="00646340"/>
    <w:rsid w:val="00651482"/>
    <w:rsid w:val="0065631A"/>
    <w:rsid w:val="00691CD3"/>
    <w:rsid w:val="006A30AE"/>
    <w:rsid w:val="006C1058"/>
    <w:rsid w:val="0079536B"/>
    <w:rsid w:val="00847E18"/>
    <w:rsid w:val="008B336E"/>
    <w:rsid w:val="00936370"/>
    <w:rsid w:val="00954533"/>
    <w:rsid w:val="009B34BB"/>
    <w:rsid w:val="00A07031"/>
    <w:rsid w:val="00A30F66"/>
    <w:rsid w:val="00A31498"/>
    <w:rsid w:val="00A81286"/>
    <w:rsid w:val="00AA3115"/>
    <w:rsid w:val="00AF27AA"/>
    <w:rsid w:val="00B25A48"/>
    <w:rsid w:val="00B544FE"/>
    <w:rsid w:val="00B62BD7"/>
    <w:rsid w:val="00B6437C"/>
    <w:rsid w:val="00B93F81"/>
    <w:rsid w:val="00C053F1"/>
    <w:rsid w:val="00C21DE0"/>
    <w:rsid w:val="00C22C44"/>
    <w:rsid w:val="00D36B8A"/>
    <w:rsid w:val="00D64DC7"/>
    <w:rsid w:val="00D71CF7"/>
    <w:rsid w:val="00DD6E96"/>
    <w:rsid w:val="00DE7614"/>
    <w:rsid w:val="00DF67E5"/>
    <w:rsid w:val="00E16984"/>
    <w:rsid w:val="00E74BB8"/>
    <w:rsid w:val="00E825A4"/>
    <w:rsid w:val="00EA1841"/>
    <w:rsid w:val="00EB696D"/>
    <w:rsid w:val="00F0043C"/>
    <w:rsid w:val="00FA11CA"/>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3.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4.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4</cp:revision>
  <dcterms:created xsi:type="dcterms:W3CDTF">2016-11-04T11:54:00Z</dcterms:created>
  <dcterms:modified xsi:type="dcterms:W3CDTF">2016-11-06T19:17:00Z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